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CD8AF" w14:textId="3A64C30B" w:rsidR="007872E1" w:rsidRPr="007872E1" w:rsidRDefault="007872E1" w:rsidP="007872E1">
      <w:pPr>
        <w:jc w:val="both"/>
        <w:rPr>
          <w:rFonts w:ascii="Lato" w:hAnsi="Lato" w:cs="Lato"/>
          <w:b/>
          <w:bCs/>
          <w:color w:val="FF0000"/>
          <w:sz w:val="40"/>
          <w:szCs w:val="40"/>
          <w:lang w:val="en-US"/>
        </w:rPr>
      </w:pPr>
      <w:r w:rsidRPr="007872E1">
        <w:rPr>
          <w:rFonts w:ascii="Lato" w:hAnsi="Lato" w:cs="Lato"/>
          <w:b/>
          <w:bCs/>
          <w:color w:val="FF0000"/>
          <w:sz w:val="40"/>
          <w:szCs w:val="40"/>
          <w:lang w:val="en-US"/>
        </w:rPr>
        <w:t>Guidelines for the authors</w:t>
      </w:r>
    </w:p>
    <w:p w14:paraId="21B20BCF" w14:textId="77777777" w:rsidR="007872E1" w:rsidRDefault="007872E1" w:rsidP="007872E1">
      <w:pPr>
        <w:jc w:val="both"/>
        <w:rPr>
          <w:rFonts w:ascii="Lato" w:hAnsi="Lato" w:cs="Lato"/>
          <w:b/>
          <w:bCs/>
          <w:lang w:val="en-US"/>
        </w:rPr>
      </w:pPr>
    </w:p>
    <w:p w14:paraId="09C0B6FD" w14:textId="49C18FAF" w:rsidR="007872E1" w:rsidRDefault="007872E1" w:rsidP="007872E1">
      <w:pPr>
        <w:jc w:val="both"/>
        <w:rPr>
          <w:rFonts w:ascii="Lato" w:hAnsi="Lato" w:cs="Lato"/>
          <w:b/>
          <w:bCs/>
          <w:lang w:val="en-US"/>
        </w:rPr>
      </w:pPr>
      <w:r>
        <w:rPr>
          <w:rFonts w:ascii="Lato" w:hAnsi="Lato" w:cs="Lato"/>
          <w:b/>
          <w:bCs/>
          <w:lang w:val="en-US"/>
        </w:rPr>
        <w:t xml:space="preserve">Forum </w:t>
      </w:r>
      <w:proofErr w:type="spellStart"/>
      <w:r>
        <w:rPr>
          <w:rFonts w:ascii="Lato" w:hAnsi="Lato" w:cs="Lato"/>
          <w:b/>
          <w:bCs/>
          <w:lang w:val="en-US"/>
        </w:rPr>
        <w:t>Prawnicze</w:t>
      </w:r>
      <w:proofErr w:type="spellEnd"/>
      <w:r>
        <w:rPr>
          <w:rFonts w:ascii="Lato" w:hAnsi="Lato" w:cs="Lato"/>
          <w:b/>
          <w:bCs/>
          <w:lang w:val="en-US"/>
        </w:rPr>
        <w:t xml:space="preserve"> publishes following categories of texts:</w:t>
      </w:r>
    </w:p>
    <w:p w14:paraId="4138C4FA" w14:textId="77777777" w:rsidR="007872E1" w:rsidRPr="00720C2E" w:rsidRDefault="007872E1" w:rsidP="007872E1">
      <w:pPr>
        <w:pStyle w:val="Akapitzlist"/>
        <w:numPr>
          <w:ilvl w:val="0"/>
          <w:numId w:val="1"/>
        </w:numPr>
        <w:jc w:val="both"/>
        <w:rPr>
          <w:rFonts w:ascii="Lato" w:hAnsi="Lato" w:cs="Lato"/>
          <w:lang w:val="en-US"/>
        </w:rPr>
      </w:pPr>
      <w:r w:rsidRPr="00720C2E">
        <w:rPr>
          <w:rFonts w:ascii="Lato" w:hAnsi="Lato" w:cs="Lato"/>
          <w:b/>
          <w:bCs/>
          <w:lang w:val="en-US"/>
        </w:rPr>
        <w:t>Article</w:t>
      </w:r>
      <w:r w:rsidRPr="00720C2E">
        <w:rPr>
          <w:rFonts w:ascii="Lato" w:hAnsi="Lato" w:cs="Lato"/>
          <w:lang w:val="en-US"/>
        </w:rPr>
        <w:t xml:space="preserve"> – the main body of the manuscript should</w:t>
      </w:r>
      <w:r>
        <w:rPr>
          <w:rFonts w:ascii="Lato" w:hAnsi="Lato" w:cs="Lato"/>
          <w:lang w:val="en-US"/>
        </w:rPr>
        <w:t xml:space="preserve"> no</w:t>
      </w:r>
      <w:r w:rsidRPr="00720C2E">
        <w:rPr>
          <w:rFonts w:ascii="Lato" w:hAnsi="Lato" w:cs="Lato"/>
          <w:lang w:val="en-US"/>
        </w:rPr>
        <w:t>t be longer than 70 000 characters including footnotes and space characters</w:t>
      </w:r>
      <w:r>
        <w:rPr>
          <w:rFonts w:ascii="Lato" w:hAnsi="Lato" w:cs="Lato"/>
          <w:lang w:val="en-US"/>
        </w:rPr>
        <w:t>;</w:t>
      </w:r>
    </w:p>
    <w:p w14:paraId="39E98615" w14:textId="77777777" w:rsidR="007872E1" w:rsidRDefault="007872E1" w:rsidP="007872E1">
      <w:pPr>
        <w:pStyle w:val="Akapitzlist"/>
        <w:numPr>
          <w:ilvl w:val="0"/>
          <w:numId w:val="1"/>
        </w:numPr>
        <w:jc w:val="both"/>
        <w:rPr>
          <w:rFonts w:ascii="Lato" w:hAnsi="Lato" w:cs="Lato"/>
          <w:lang w:val="en-US"/>
        </w:rPr>
      </w:pPr>
      <w:r w:rsidRPr="00720C2E">
        <w:rPr>
          <w:rFonts w:ascii="Lato" w:hAnsi="Lato" w:cs="Lato"/>
          <w:b/>
          <w:bCs/>
          <w:lang w:val="en-US"/>
        </w:rPr>
        <w:t>Review</w:t>
      </w:r>
      <w:r w:rsidRPr="00720C2E">
        <w:rPr>
          <w:rFonts w:ascii="Lato" w:hAnsi="Lato" w:cs="Lato"/>
          <w:lang w:val="en-US"/>
        </w:rPr>
        <w:t xml:space="preserve"> </w:t>
      </w:r>
      <w:r>
        <w:rPr>
          <w:rFonts w:ascii="Lato" w:hAnsi="Lato" w:cs="Lato"/>
          <w:lang w:val="en-US"/>
        </w:rPr>
        <w:t>–</w:t>
      </w:r>
      <w:r w:rsidRPr="00720C2E">
        <w:rPr>
          <w:rFonts w:ascii="Lato" w:hAnsi="Lato" w:cs="Lato"/>
          <w:lang w:val="en-US"/>
        </w:rPr>
        <w:t xml:space="preserve"> </w:t>
      </w:r>
      <w:r>
        <w:rPr>
          <w:rFonts w:ascii="Lato" w:hAnsi="Lato" w:cs="Lato"/>
          <w:lang w:val="en-US"/>
        </w:rPr>
        <w:t>reviewed publications should be published during the last year period (in case of polish publications) or two years period (in case of foreign publications) counting from the date of submitting the manuscript, reviews should not be longer than 40 000 characters including footnotes and space characters;</w:t>
      </w:r>
    </w:p>
    <w:p w14:paraId="4EC9B69C" w14:textId="77777777" w:rsidR="007872E1" w:rsidRDefault="007872E1" w:rsidP="007872E1">
      <w:pPr>
        <w:pStyle w:val="Akapitzlist"/>
        <w:numPr>
          <w:ilvl w:val="0"/>
          <w:numId w:val="1"/>
        </w:numPr>
        <w:jc w:val="both"/>
        <w:rPr>
          <w:rFonts w:ascii="Lato" w:hAnsi="Lato" w:cs="Lato"/>
          <w:lang w:val="en-US"/>
        </w:rPr>
      </w:pPr>
      <w:r>
        <w:rPr>
          <w:rFonts w:ascii="Lato" w:hAnsi="Lato" w:cs="Lato"/>
          <w:b/>
          <w:bCs/>
          <w:lang w:val="en-US"/>
        </w:rPr>
        <w:t xml:space="preserve">Glosses </w:t>
      </w:r>
      <w:r>
        <w:rPr>
          <w:rFonts w:ascii="Lato" w:hAnsi="Lato" w:cs="Lato"/>
          <w:lang w:val="en-US"/>
        </w:rPr>
        <w:t xml:space="preserve">– rulings being the focus of the gloss should have a substantial influence on the case law and should develop or change it in a significant way; </w:t>
      </w:r>
      <w:proofErr w:type="gramStart"/>
      <w:r>
        <w:rPr>
          <w:rFonts w:ascii="Lato" w:hAnsi="Lato" w:cs="Lato"/>
          <w:lang w:val="en-US"/>
        </w:rPr>
        <w:t>alternatively</w:t>
      </w:r>
      <w:proofErr w:type="gramEnd"/>
      <w:r>
        <w:rPr>
          <w:rFonts w:ascii="Lato" w:hAnsi="Lato" w:cs="Lato"/>
          <w:lang w:val="en-US"/>
        </w:rPr>
        <w:t xml:space="preserve"> rulings addressed should refer to the entirely new cases; gloss should not be longer than 30 000 characters including footnotes and space characters;</w:t>
      </w:r>
    </w:p>
    <w:p w14:paraId="2B6F567D" w14:textId="77777777" w:rsidR="007872E1" w:rsidRDefault="007872E1" w:rsidP="007872E1">
      <w:pPr>
        <w:jc w:val="both"/>
        <w:rPr>
          <w:rFonts w:ascii="Lato" w:hAnsi="Lato" w:cs="Lato"/>
          <w:lang w:val="en-US"/>
        </w:rPr>
      </w:pPr>
      <w:r>
        <w:rPr>
          <w:rFonts w:ascii="Lato" w:hAnsi="Lato" w:cs="Lato"/>
          <w:lang w:val="en-US"/>
        </w:rPr>
        <w:t xml:space="preserve">Manuscripts have to be submitted through the </w:t>
      </w:r>
      <w:r w:rsidRPr="007872E1">
        <w:rPr>
          <w:rFonts w:ascii="Lato" w:hAnsi="Lato" w:cs="Lato"/>
          <w:lang w:val="en-US"/>
        </w:rPr>
        <w:t>on-line submission system</w:t>
      </w:r>
      <w:r>
        <w:rPr>
          <w:rFonts w:ascii="Lato" w:hAnsi="Lato" w:cs="Lato"/>
          <w:lang w:val="en-US"/>
        </w:rPr>
        <w:t>. During the submission process the authors will be asked to</w:t>
      </w:r>
      <w:r w:rsidRPr="007872E1">
        <w:rPr>
          <w:rFonts w:ascii="Lato" w:hAnsi="Lato" w:cs="Lato"/>
          <w:b/>
          <w:bCs/>
          <w:lang w:val="en-US"/>
        </w:rPr>
        <w:t xml:space="preserve"> create their own author’s profile. Should the author already possess their own profile created during the earlier submission, they will be asked to provide up-to-date information.</w:t>
      </w:r>
    </w:p>
    <w:p w14:paraId="38867D7B" w14:textId="77777777" w:rsidR="007872E1" w:rsidRDefault="007872E1" w:rsidP="007872E1">
      <w:pPr>
        <w:jc w:val="both"/>
        <w:rPr>
          <w:rFonts w:ascii="Lato" w:hAnsi="Lato" w:cs="Lato"/>
          <w:lang w:val="en-US"/>
        </w:rPr>
      </w:pPr>
      <w:r>
        <w:rPr>
          <w:rFonts w:ascii="Lato" w:hAnsi="Lato" w:cs="Lato"/>
          <w:lang w:val="en-US"/>
        </w:rPr>
        <w:t>The submission should include:</w:t>
      </w:r>
    </w:p>
    <w:p w14:paraId="1A88AD1B" w14:textId="77777777" w:rsidR="007872E1" w:rsidRDefault="007872E1" w:rsidP="007872E1">
      <w:pPr>
        <w:pStyle w:val="Akapitzlist"/>
        <w:numPr>
          <w:ilvl w:val="0"/>
          <w:numId w:val="2"/>
        </w:numPr>
        <w:jc w:val="both"/>
        <w:rPr>
          <w:rFonts w:ascii="Lato" w:hAnsi="Lato" w:cs="Lato"/>
          <w:lang w:val="en-US"/>
        </w:rPr>
      </w:pPr>
      <w:r>
        <w:rPr>
          <w:rFonts w:ascii="Lato" w:hAnsi="Lato" w:cs="Lato"/>
          <w:lang w:val="en-US"/>
        </w:rPr>
        <w:t>The version of the manuscript devoid of any information (including metadata) that could potentially allow to identify the author during the peer-review process; the manuscript has to be submitted in docx format;</w:t>
      </w:r>
    </w:p>
    <w:p w14:paraId="08659AFC" w14:textId="783EF537" w:rsidR="007872E1" w:rsidRDefault="007872E1" w:rsidP="007872E1">
      <w:pPr>
        <w:pStyle w:val="Akapitzlist"/>
        <w:numPr>
          <w:ilvl w:val="0"/>
          <w:numId w:val="2"/>
        </w:numPr>
        <w:jc w:val="both"/>
        <w:rPr>
          <w:rFonts w:ascii="Lato" w:hAnsi="Lato" w:cs="Lato"/>
          <w:lang w:val="en-US"/>
        </w:rPr>
      </w:pPr>
      <w:r>
        <w:rPr>
          <w:rFonts w:ascii="Lato" w:hAnsi="Lato" w:cs="Lato"/>
          <w:lang w:val="en-US"/>
        </w:rPr>
        <w:t>The docx file containing author’s personal data: short biographical note (not longer than 500 characters including space characters), affiliation, ORCID number (</w:t>
      </w:r>
      <w:r w:rsidRPr="007872E1">
        <w:rPr>
          <w:rFonts w:ascii="Lato" w:hAnsi="Lato" w:cs="Lato"/>
          <w:lang w:val="en-US"/>
        </w:rPr>
        <w:t>https://orcid.org</w:t>
      </w:r>
      <w:r>
        <w:rPr>
          <w:rFonts w:ascii="Lato" w:hAnsi="Lato" w:cs="Lato"/>
          <w:lang w:val="en-US"/>
        </w:rPr>
        <w:t>), official e-mail address.;</w:t>
      </w:r>
    </w:p>
    <w:p w14:paraId="3CF77589" w14:textId="77777777" w:rsidR="007872E1" w:rsidRPr="00E11637" w:rsidRDefault="007872E1" w:rsidP="007872E1">
      <w:pPr>
        <w:pStyle w:val="Akapitzlist"/>
        <w:numPr>
          <w:ilvl w:val="0"/>
          <w:numId w:val="2"/>
        </w:numPr>
        <w:jc w:val="both"/>
        <w:rPr>
          <w:rFonts w:ascii="Lato" w:hAnsi="Lato" w:cs="Lato"/>
          <w:lang w:val="en-US"/>
        </w:rPr>
      </w:pPr>
      <w:r>
        <w:rPr>
          <w:rFonts w:ascii="Lato" w:hAnsi="Lato" w:cs="Lato"/>
          <w:lang w:val="en-US"/>
        </w:rPr>
        <w:t xml:space="preserve">The docx file with additional </w:t>
      </w:r>
      <w:proofErr w:type="spellStart"/>
      <w:r>
        <w:rPr>
          <w:rFonts w:ascii="Lato" w:hAnsi="Lato" w:cs="Lato"/>
          <w:lang w:val="en-US"/>
        </w:rPr>
        <w:t>informations</w:t>
      </w:r>
      <w:proofErr w:type="spellEnd"/>
      <w:r>
        <w:rPr>
          <w:rFonts w:ascii="Lato" w:hAnsi="Lato" w:cs="Lato"/>
          <w:lang w:val="en-US"/>
        </w:rPr>
        <w:t xml:space="preserve"> such as: title in English; abstract in English (not </w:t>
      </w:r>
      <w:r w:rsidRPr="00E11637">
        <w:rPr>
          <w:rFonts w:ascii="Lato" w:hAnsi="Lato" w:cs="Lato"/>
          <w:lang w:val="en-US"/>
        </w:rPr>
        <w:t>longer than 1200 characters including space characters), key words in both Polish and English (in case of publications in Polish) or only in English (in case of publications in English), bibliography compliant with the rules for the authors, propositions of 3-5 excerpts from the manuscript to be highlighted (not longer than 200 characters including space characters);</w:t>
      </w:r>
    </w:p>
    <w:p w14:paraId="7C64E740" w14:textId="77777777" w:rsidR="007872E1" w:rsidRPr="00E11637" w:rsidRDefault="007872E1" w:rsidP="00A2755E">
      <w:pPr>
        <w:pStyle w:val="Akapitzlist"/>
        <w:numPr>
          <w:ilvl w:val="0"/>
          <w:numId w:val="2"/>
        </w:numPr>
        <w:jc w:val="both"/>
        <w:rPr>
          <w:rFonts w:ascii="Lato" w:hAnsi="Lato" w:cs="Lato"/>
          <w:lang w:val="en-US"/>
        </w:rPr>
      </w:pPr>
      <w:r w:rsidRPr="00E11637">
        <w:rPr>
          <w:rFonts w:ascii="Lato" w:hAnsi="Lato" w:cs="Lato"/>
          <w:lang w:val="en-US"/>
        </w:rPr>
        <w:t>Author’s image in good quality and resolutions (min. 130 kB).</w:t>
      </w:r>
    </w:p>
    <w:p w14:paraId="4B89AFD8" w14:textId="757DF7B0" w:rsidR="00411B6D" w:rsidRPr="00E11637" w:rsidRDefault="007872E1" w:rsidP="00A2755E">
      <w:pPr>
        <w:jc w:val="both"/>
        <w:rPr>
          <w:rFonts w:ascii="Lato" w:hAnsi="Lato" w:cs="Lato"/>
          <w:lang w:val="en-US"/>
        </w:rPr>
      </w:pPr>
      <w:r w:rsidRPr="00E11637">
        <w:rPr>
          <w:rFonts w:ascii="Lato" w:hAnsi="Lato" w:cs="Lato"/>
          <w:lang w:val="en-US"/>
        </w:rPr>
        <w:t>The journal is published under Creative Commons license – Recognition of authorship – Non-commercial use – No derivative works 4.0 International (CC BY-NC-ND 4.0)</w:t>
      </w:r>
      <w:r w:rsidR="00E11637" w:rsidRPr="00E11637">
        <w:rPr>
          <w:rFonts w:ascii="Lato" w:hAnsi="Lato" w:cs="Lato"/>
          <w:lang w:val="en-US"/>
        </w:rPr>
        <w:t>.</w:t>
      </w:r>
    </w:p>
    <w:p w14:paraId="1991BAD3" w14:textId="79D99D10" w:rsidR="00E11637" w:rsidRPr="00E11637" w:rsidRDefault="00E11637" w:rsidP="00A2755E">
      <w:pPr>
        <w:jc w:val="both"/>
        <w:rPr>
          <w:rFonts w:ascii="Lato" w:hAnsi="Lato" w:cs="Lato"/>
          <w:lang w:val="en-US"/>
        </w:rPr>
      </w:pPr>
      <w:r w:rsidRPr="00E11637">
        <w:rPr>
          <w:rFonts w:ascii="Lato" w:hAnsi="Lato" w:cs="Lato"/>
          <w:color w:val="FF0000"/>
          <w:sz w:val="40"/>
          <w:szCs w:val="40"/>
          <w:lang w:val="en-US"/>
        </w:rPr>
        <w:t>Layout of the manuscript</w:t>
      </w:r>
    </w:p>
    <w:p w14:paraId="2C6B5C6F" w14:textId="2C6721C0" w:rsidR="00E11637" w:rsidRDefault="00E11637" w:rsidP="00A2755E">
      <w:pPr>
        <w:jc w:val="both"/>
        <w:rPr>
          <w:rFonts w:ascii="Lato" w:hAnsi="Lato" w:cs="Lato"/>
          <w:lang w:val="en-US"/>
        </w:rPr>
      </w:pPr>
      <w:r w:rsidRPr="00A2755E">
        <w:rPr>
          <w:rFonts w:ascii="Lato" w:hAnsi="Lato" w:cs="Lato"/>
          <w:lang w:val="en-US"/>
        </w:rPr>
        <w:t xml:space="preserve">In order to separate the specific </w:t>
      </w:r>
      <w:r w:rsidR="00A2755E">
        <w:rPr>
          <w:rFonts w:ascii="Lato" w:hAnsi="Lato" w:cs="Lato"/>
          <w:lang w:val="en-US"/>
        </w:rPr>
        <w:t>sections and subsections</w:t>
      </w:r>
      <w:r w:rsidRPr="00A2755E">
        <w:rPr>
          <w:rFonts w:ascii="Lato" w:hAnsi="Lato" w:cs="Lato"/>
          <w:lang w:val="en-US"/>
        </w:rPr>
        <w:t xml:space="preserve"> of the manuscript we advise authors to use the Arabic numerals (1.,1.1.,2.,2.1.,</w:t>
      </w:r>
      <w:r w:rsidR="00A2755E">
        <w:rPr>
          <w:rFonts w:ascii="Lato" w:hAnsi="Lato" w:cs="Lato"/>
          <w:lang w:val="en-US"/>
        </w:rPr>
        <w:t>2.2., etc.</w:t>
      </w:r>
      <w:r w:rsidRPr="00A2755E">
        <w:rPr>
          <w:rFonts w:ascii="Lato" w:hAnsi="Lato" w:cs="Lato"/>
          <w:lang w:val="en-US"/>
        </w:rPr>
        <w:t>)</w:t>
      </w:r>
      <w:r w:rsidR="00A2755E">
        <w:rPr>
          <w:rFonts w:ascii="Lato" w:hAnsi="Lato" w:cs="Lato"/>
          <w:lang w:val="en-US"/>
        </w:rPr>
        <w:t xml:space="preserve">. In case of multiple following citations of the same publication it is preferable to use the term ibidem. Authors should refrain from adding footnotes to the title of the manuscript. Additional </w:t>
      </w:r>
      <w:proofErr w:type="spellStart"/>
      <w:r w:rsidR="00A2755E">
        <w:rPr>
          <w:rFonts w:ascii="Lato" w:hAnsi="Lato" w:cs="Lato"/>
          <w:lang w:val="en-US"/>
        </w:rPr>
        <w:t>informations</w:t>
      </w:r>
      <w:proofErr w:type="spellEnd"/>
      <w:r w:rsidR="00A2755E">
        <w:rPr>
          <w:rFonts w:ascii="Lato" w:hAnsi="Lato" w:cs="Lato"/>
          <w:lang w:val="en-US"/>
        </w:rPr>
        <w:t xml:space="preserve"> about various forms of cooperation, sources of financing, scientific projects</w:t>
      </w:r>
      <w:r w:rsidR="00DE1060">
        <w:rPr>
          <w:rFonts w:ascii="Lato" w:hAnsi="Lato" w:cs="Lato"/>
          <w:lang w:val="en-US"/>
        </w:rPr>
        <w:t>, etc.</w:t>
      </w:r>
      <w:r w:rsidR="00A2755E">
        <w:rPr>
          <w:rFonts w:ascii="Lato" w:hAnsi="Lato" w:cs="Lato"/>
          <w:lang w:val="en-US"/>
        </w:rPr>
        <w:t xml:space="preserve"> may be added in the last fo</w:t>
      </w:r>
      <w:r w:rsidR="00DE1060">
        <w:rPr>
          <w:rFonts w:ascii="Lato" w:hAnsi="Lato" w:cs="Lato"/>
          <w:lang w:val="en-US"/>
        </w:rPr>
        <w:t xml:space="preserve">otnote marked by * character or simply </w:t>
      </w:r>
      <w:proofErr w:type="spellStart"/>
      <w:r w:rsidR="00DE1060">
        <w:rPr>
          <w:rFonts w:ascii="Lato" w:hAnsi="Lato" w:cs="Lato"/>
          <w:lang w:val="en-US"/>
        </w:rPr>
        <w:t>ad</w:t>
      </w:r>
      <w:proofErr w:type="spellEnd"/>
      <w:r w:rsidR="00DE1060">
        <w:rPr>
          <w:rFonts w:ascii="Lato" w:hAnsi="Lato" w:cs="Lato"/>
          <w:lang w:val="en-US"/>
        </w:rPr>
        <w:t xml:space="preserve"> the end of the manuscript.</w:t>
      </w:r>
    </w:p>
    <w:p w14:paraId="0B869D1E" w14:textId="77777777" w:rsidR="00DE1060" w:rsidRDefault="00DE1060" w:rsidP="00A2755E">
      <w:pPr>
        <w:jc w:val="both"/>
        <w:rPr>
          <w:rFonts w:ascii="Lato" w:hAnsi="Lato" w:cs="Lato"/>
          <w:lang w:val="en-US"/>
        </w:rPr>
      </w:pPr>
    </w:p>
    <w:p w14:paraId="4ACA1B04" w14:textId="215B17EA" w:rsidR="00DE1060" w:rsidRPr="00DE1060" w:rsidRDefault="00DE1060" w:rsidP="001E3A34">
      <w:pPr>
        <w:jc w:val="both"/>
        <w:rPr>
          <w:rFonts w:ascii="Lato" w:hAnsi="Lato" w:cs="Lato"/>
          <w:color w:val="FF0000"/>
          <w:sz w:val="40"/>
          <w:szCs w:val="40"/>
          <w:lang w:val="en-US"/>
        </w:rPr>
      </w:pPr>
      <w:r w:rsidRPr="00DE1060">
        <w:rPr>
          <w:rFonts w:ascii="Lato" w:hAnsi="Lato" w:cs="Lato"/>
          <w:color w:val="FF0000"/>
          <w:sz w:val="40"/>
          <w:szCs w:val="40"/>
          <w:lang w:val="en-US"/>
        </w:rPr>
        <w:lastRenderedPageBreak/>
        <w:t>Citation/Footnote style</w:t>
      </w:r>
    </w:p>
    <w:p w14:paraId="3EB123D4" w14:textId="77777777" w:rsidR="00DE1060" w:rsidRDefault="00DE1060" w:rsidP="001E3A34">
      <w:pPr>
        <w:jc w:val="both"/>
        <w:rPr>
          <w:rFonts w:ascii="Lato" w:hAnsi="Lato" w:cs="Lato"/>
          <w:lang w:val="en-US"/>
        </w:rPr>
      </w:pPr>
    </w:p>
    <w:p w14:paraId="74A4C3E7" w14:textId="29A435B0" w:rsidR="00A2755E" w:rsidRDefault="00DE1060" w:rsidP="001E3A34">
      <w:pPr>
        <w:pStyle w:val="Akapitzlist"/>
        <w:numPr>
          <w:ilvl w:val="0"/>
          <w:numId w:val="3"/>
        </w:numPr>
        <w:jc w:val="both"/>
        <w:rPr>
          <w:rFonts w:ascii="Lato" w:hAnsi="Lato" w:cs="Lato"/>
          <w:lang w:val="en-US"/>
        </w:rPr>
      </w:pPr>
      <w:r w:rsidRPr="00DE1060">
        <w:rPr>
          <w:rFonts w:ascii="Lato" w:hAnsi="Lato" w:cs="Lato"/>
          <w:color w:val="FF0000"/>
          <w:lang w:val="en-US"/>
        </w:rPr>
        <w:t>Footnotes</w:t>
      </w:r>
      <w:r>
        <w:rPr>
          <w:rFonts w:ascii="Lato" w:hAnsi="Lato" w:cs="Lato"/>
          <w:lang w:val="en-US"/>
        </w:rPr>
        <w:t xml:space="preserve"> -footnotes are the preferred form of marking out citations in the manuscript. Footnotes should be marked with Arabic numerals (1,2,3) before the punctuation mark.</w:t>
      </w:r>
    </w:p>
    <w:p w14:paraId="1BAC699F" w14:textId="08B4E8E9" w:rsidR="001E3A34" w:rsidRPr="001E3A34" w:rsidRDefault="001E3A34" w:rsidP="001E3A34">
      <w:pPr>
        <w:jc w:val="both"/>
        <w:rPr>
          <w:rFonts w:ascii="Lato" w:hAnsi="Lato" w:cs="Lato"/>
          <w:u w:val="single"/>
          <w:lang w:val="en-US"/>
        </w:rPr>
      </w:pPr>
      <w:r w:rsidRPr="001E3A34">
        <w:rPr>
          <w:rFonts w:ascii="Lato" w:hAnsi="Lato" w:cs="Lato"/>
          <w:u w:val="single"/>
          <w:lang w:val="en-US"/>
        </w:rPr>
        <w:t>Monograph</w:t>
      </w:r>
    </w:p>
    <w:p w14:paraId="1F57EC0B" w14:textId="6228A5D8" w:rsidR="001E3A34" w:rsidRDefault="001E3A34" w:rsidP="008F6689">
      <w:pPr>
        <w:jc w:val="both"/>
        <w:rPr>
          <w:rFonts w:ascii="Lato" w:hAnsi="Lato" w:cs="Lato"/>
          <w:lang w:val="en-US"/>
        </w:rPr>
      </w:pPr>
      <w:r>
        <w:rPr>
          <w:rFonts w:ascii="Lato" w:hAnsi="Lato" w:cs="Lato"/>
          <w:lang w:val="en-US"/>
        </w:rPr>
        <w:t xml:space="preserve">First reference: W. </w:t>
      </w:r>
      <w:proofErr w:type="spellStart"/>
      <w:r w:rsidRPr="001E3A34">
        <w:rPr>
          <w:rFonts w:ascii="Lato" w:hAnsi="Lato" w:cs="Lato"/>
          <w:lang w:val="en-US"/>
        </w:rPr>
        <w:t>Kudła</w:t>
      </w:r>
      <w:proofErr w:type="spellEnd"/>
      <w:r w:rsidRPr="001E3A34">
        <w:rPr>
          <w:rFonts w:ascii="Lato" w:hAnsi="Lato" w:cs="Lato"/>
          <w:lang w:val="en-US"/>
        </w:rPr>
        <w:t>,</w:t>
      </w:r>
      <w:r w:rsidRPr="001E3A34">
        <w:rPr>
          <w:rFonts w:ascii="Lato" w:hAnsi="Lato" w:cs="Lato"/>
          <w:i/>
          <w:iCs/>
          <w:lang w:val="en-US"/>
        </w:rPr>
        <w:t xml:space="preserve"> </w:t>
      </w:r>
      <w:proofErr w:type="spellStart"/>
      <w:r w:rsidRPr="001E3A34">
        <w:rPr>
          <w:rFonts w:ascii="Lato" w:hAnsi="Lato" w:cs="Lato"/>
          <w:i/>
          <w:iCs/>
          <w:lang w:val="en-US"/>
        </w:rPr>
        <w:t>Wrogość</w:t>
      </w:r>
      <w:proofErr w:type="spellEnd"/>
      <w:r w:rsidRPr="001E3A34">
        <w:rPr>
          <w:rFonts w:ascii="Lato" w:hAnsi="Lato" w:cs="Lato"/>
          <w:i/>
          <w:iCs/>
          <w:lang w:val="en-US"/>
        </w:rPr>
        <w:t xml:space="preserve"> </w:t>
      </w:r>
      <w:proofErr w:type="spellStart"/>
      <w:r w:rsidRPr="001E3A34">
        <w:rPr>
          <w:rFonts w:ascii="Lato" w:hAnsi="Lato" w:cs="Lato"/>
          <w:i/>
          <w:iCs/>
          <w:lang w:val="en-US"/>
        </w:rPr>
        <w:t>wobec</w:t>
      </w:r>
      <w:proofErr w:type="spellEnd"/>
      <w:r w:rsidRPr="001E3A34">
        <w:rPr>
          <w:rFonts w:ascii="Lato" w:hAnsi="Lato" w:cs="Lato"/>
          <w:i/>
          <w:iCs/>
          <w:lang w:val="en-US"/>
        </w:rPr>
        <w:t xml:space="preserve"> </w:t>
      </w:r>
      <w:proofErr w:type="spellStart"/>
      <w:r w:rsidRPr="001E3A34">
        <w:rPr>
          <w:rFonts w:ascii="Lato" w:hAnsi="Lato" w:cs="Lato"/>
          <w:i/>
          <w:iCs/>
          <w:lang w:val="en-US"/>
        </w:rPr>
        <w:t>religii</w:t>
      </w:r>
      <w:proofErr w:type="spellEnd"/>
      <w:r w:rsidRPr="001E3A34">
        <w:rPr>
          <w:rFonts w:ascii="Lato" w:hAnsi="Lato" w:cs="Lato"/>
          <w:i/>
          <w:iCs/>
          <w:lang w:val="en-US"/>
        </w:rPr>
        <w:t xml:space="preserve">. </w:t>
      </w:r>
      <w:proofErr w:type="spellStart"/>
      <w:r w:rsidRPr="001E3A34">
        <w:rPr>
          <w:rFonts w:ascii="Lato" w:hAnsi="Lato" w:cs="Lato"/>
          <w:i/>
          <w:iCs/>
          <w:lang w:val="en-US"/>
        </w:rPr>
        <w:t>Ostrzeżenia</w:t>
      </w:r>
      <w:proofErr w:type="spellEnd"/>
      <w:r w:rsidRPr="001E3A34">
        <w:rPr>
          <w:rFonts w:ascii="Lato" w:hAnsi="Lato" w:cs="Lato"/>
          <w:i/>
          <w:iCs/>
          <w:lang w:val="en-US"/>
        </w:rPr>
        <w:t xml:space="preserve"> ze </w:t>
      </w:r>
      <w:proofErr w:type="spellStart"/>
      <w:r w:rsidRPr="001E3A34">
        <w:rPr>
          <w:rFonts w:ascii="Lato" w:hAnsi="Lato" w:cs="Lato"/>
          <w:i/>
          <w:iCs/>
          <w:lang w:val="en-US"/>
        </w:rPr>
        <w:t>strony</w:t>
      </w:r>
      <w:proofErr w:type="spellEnd"/>
      <w:r w:rsidRPr="001E3A34">
        <w:rPr>
          <w:rFonts w:ascii="Lato" w:hAnsi="Lato" w:cs="Lato"/>
          <w:i/>
          <w:iCs/>
          <w:lang w:val="en-US"/>
        </w:rPr>
        <w:t xml:space="preserve"> </w:t>
      </w:r>
      <w:proofErr w:type="spellStart"/>
      <w:r w:rsidRPr="001E3A34">
        <w:rPr>
          <w:rFonts w:ascii="Lato" w:hAnsi="Lato" w:cs="Lato"/>
          <w:i/>
          <w:iCs/>
          <w:lang w:val="en-US"/>
        </w:rPr>
        <w:t>Sądu</w:t>
      </w:r>
      <w:proofErr w:type="spellEnd"/>
      <w:r w:rsidRPr="001E3A34">
        <w:rPr>
          <w:rFonts w:ascii="Lato" w:hAnsi="Lato" w:cs="Lato"/>
          <w:i/>
          <w:iCs/>
          <w:lang w:val="en-US"/>
        </w:rPr>
        <w:t xml:space="preserve"> </w:t>
      </w:r>
      <w:proofErr w:type="spellStart"/>
      <w:r w:rsidRPr="001E3A34">
        <w:rPr>
          <w:rFonts w:ascii="Lato" w:hAnsi="Lato" w:cs="Lato"/>
          <w:i/>
          <w:iCs/>
          <w:lang w:val="en-US"/>
        </w:rPr>
        <w:t>Najwyższego</w:t>
      </w:r>
      <w:proofErr w:type="spellEnd"/>
      <w:r w:rsidRPr="001E3A34">
        <w:rPr>
          <w:rFonts w:ascii="Lato" w:hAnsi="Lato" w:cs="Lato"/>
          <w:i/>
          <w:iCs/>
          <w:lang w:val="en-US"/>
        </w:rPr>
        <w:t xml:space="preserve"> USA</w:t>
      </w:r>
      <w:r>
        <w:rPr>
          <w:rFonts w:ascii="Lato" w:hAnsi="Lato" w:cs="Lato"/>
          <w:lang w:val="en-US"/>
        </w:rPr>
        <w:t xml:space="preserve">, Kraków 2019, </w:t>
      </w:r>
      <w:r w:rsidR="008F6689">
        <w:rPr>
          <w:rFonts w:ascii="Lato" w:hAnsi="Lato" w:cs="Lato"/>
          <w:lang w:val="en-US"/>
        </w:rPr>
        <w:t>p</w:t>
      </w:r>
      <w:r>
        <w:rPr>
          <w:rFonts w:ascii="Lato" w:hAnsi="Lato" w:cs="Lato"/>
          <w:lang w:val="en-US"/>
        </w:rPr>
        <w:t>. 151-154.</w:t>
      </w:r>
    </w:p>
    <w:p w14:paraId="7A109925" w14:textId="4C6F2F74" w:rsidR="001E3A34" w:rsidRDefault="001E3A34" w:rsidP="008F6689">
      <w:pPr>
        <w:jc w:val="both"/>
        <w:rPr>
          <w:rFonts w:ascii="Lato" w:hAnsi="Lato" w:cs="Lato"/>
          <w:lang w:val="en-US"/>
        </w:rPr>
      </w:pPr>
      <w:r>
        <w:rPr>
          <w:rFonts w:ascii="Lato" w:hAnsi="Lato" w:cs="Lato"/>
          <w:lang w:val="en-US"/>
        </w:rPr>
        <w:t xml:space="preserve">Following references: W. </w:t>
      </w:r>
      <w:proofErr w:type="spellStart"/>
      <w:r>
        <w:rPr>
          <w:rFonts w:ascii="Lato" w:hAnsi="Lato" w:cs="Lato"/>
          <w:lang w:val="en-US"/>
        </w:rPr>
        <w:t>Kudła</w:t>
      </w:r>
      <w:proofErr w:type="spellEnd"/>
      <w:r>
        <w:rPr>
          <w:rFonts w:ascii="Lato" w:hAnsi="Lato" w:cs="Lato"/>
          <w:lang w:val="en-US"/>
        </w:rPr>
        <w:t xml:space="preserve">, </w:t>
      </w:r>
      <w:proofErr w:type="spellStart"/>
      <w:r w:rsidRPr="001E3A34">
        <w:rPr>
          <w:rFonts w:ascii="Lato" w:hAnsi="Lato" w:cs="Lato"/>
          <w:i/>
          <w:iCs/>
          <w:lang w:val="en-US"/>
        </w:rPr>
        <w:t>Wrogość</w:t>
      </w:r>
      <w:proofErr w:type="spellEnd"/>
      <w:r w:rsidRPr="001E3A34">
        <w:rPr>
          <w:rFonts w:ascii="Lato" w:hAnsi="Lato" w:cs="Lato"/>
          <w:i/>
          <w:iCs/>
          <w:lang w:val="en-US"/>
        </w:rPr>
        <w:t>…</w:t>
      </w:r>
      <w:r>
        <w:rPr>
          <w:rFonts w:ascii="Lato" w:hAnsi="Lato" w:cs="Lato"/>
          <w:lang w:val="en-US"/>
        </w:rPr>
        <w:t xml:space="preserve">, </w:t>
      </w:r>
      <w:r w:rsidR="008F6689">
        <w:rPr>
          <w:rFonts w:ascii="Lato" w:hAnsi="Lato" w:cs="Lato"/>
          <w:lang w:val="en-US"/>
        </w:rPr>
        <w:t>p</w:t>
      </w:r>
      <w:r>
        <w:rPr>
          <w:rFonts w:ascii="Lato" w:hAnsi="Lato" w:cs="Lato"/>
          <w:lang w:val="en-US"/>
        </w:rPr>
        <w:t>. 208-209</w:t>
      </w:r>
      <w:r w:rsidR="000E040D">
        <w:rPr>
          <w:rFonts w:ascii="Lato" w:hAnsi="Lato" w:cs="Lato"/>
          <w:lang w:val="en-US"/>
        </w:rPr>
        <w:t>.</w:t>
      </w:r>
    </w:p>
    <w:p w14:paraId="085FD39C" w14:textId="77777777" w:rsidR="001E3A34" w:rsidRDefault="001E3A34" w:rsidP="008F6689">
      <w:pPr>
        <w:jc w:val="both"/>
        <w:rPr>
          <w:rFonts w:ascii="Lato" w:hAnsi="Lato" w:cs="Lato"/>
          <w:lang w:val="en-US"/>
        </w:rPr>
      </w:pPr>
    </w:p>
    <w:p w14:paraId="7B30E752" w14:textId="3DDDFDD6" w:rsidR="001E3A34" w:rsidRPr="001E3A34" w:rsidRDefault="001E3A34" w:rsidP="008F6689">
      <w:pPr>
        <w:jc w:val="both"/>
        <w:rPr>
          <w:rFonts w:ascii="Lato" w:hAnsi="Lato" w:cs="Lato"/>
          <w:u w:val="single"/>
          <w:lang w:val="en-US"/>
        </w:rPr>
      </w:pPr>
      <w:r w:rsidRPr="001E3A34">
        <w:rPr>
          <w:rFonts w:ascii="Lato" w:hAnsi="Lato" w:cs="Lato"/>
          <w:u w:val="single"/>
          <w:lang w:val="en-US"/>
        </w:rPr>
        <w:t>Scientific articles</w:t>
      </w:r>
    </w:p>
    <w:p w14:paraId="5E13EFA9" w14:textId="68E2DC41" w:rsidR="001E3A34" w:rsidRDefault="000E040D" w:rsidP="008F6689">
      <w:pPr>
        <w:jc w:val="both"/>
        <w:rPr>
          <w:rFonts w:ascii="Lato" w:hAnsi="Lato" w:cs="Lato"/>
          <w:lang w:val="en-US"/>
        </w:rPr>
      </w:pPr>
      <w:r>
        <w:rPr>
          <w:rFonts w:ascii="Lato" w:hAnsi="Lato" w:cs="Lato"/>
          <w:lang w:val="en-US"/>
        </w:rPr>
        <w:t xml:space="preserve">First reference: L. </w:t>
      </w:r>
      <w:proofErr w:type="spellStart"/>
      <w:r>
        <w:rPr>
          <w:rFonts w:ascii="Lato" w:hAnsi="Lato" w:cs="Lato"/>
          <w:lang w:val="en-US"/>
        </w:rPr>
        <w:t>Morawski</w:t>
      </w:r>
      <w:proofErr w:type="spellEnd"/>
      <w:r>
        <w:rPr>
          <w:rFonts w:ascii="Lato" w:hAnsi="Lato" w:cs="Lato"/>
          <w:lang w:val="en-US"/>
        </w:rPr>
        <w:t xml:space="preserve">, </w:t>
      </w:r>
      <w:r w:rsidR="00350242">
        <w:rPr>
          <w:rFonts w:ascii="Lato" w:hAnsi="Lato" w:cs="Lato"/>
          <w:lang w:val="en-US"/>
        </w:rPr>
        <w:t>“</w:t>
      </w:r>
      <w:proofErr w:type="spellStart"/>
      <w:r w:rsidRPr="00350242">
        <w:rPr>
          <w:rFonts w:ascii="Lato" w:hAnsi="Lato" w:cs="Lato"/>
          <w:lang w:val="en-US"/>
        </w:rPr>
        <w:t>Suwerenność</w:t>
      </w:r>
      <w:proofErr w:type="spellEnd"/>
      <w:r w:rsidRPr="00350242">
        <w:rPr>
          <w:rFonts w:ascii="Lato" w:hAnsi="Lato" w:cs="Lato"/>
          <w:lang w:val="en-US"/>
        </w:rPr>
        <w:t xml:space="preserve"> </w:t>
      </w:r>
      <w:proofErr w:type="spellStart"/>
      <w:r w:rsidRPr="00350242">
        <w:rPr>
          <w:rFonts w:ascii="Lato" w:hAnsi="Lato" w:cs="Lato"/>
          <w:lang w:val="en-US"/>
        </w:rPr>
        <w:t>i</w:t>
      </w:r>
      <w:proofErr w:type="spellEnd"/>
      <w:r w:rsidRPr="00350242">
        <w:rPr>
          <w:rFonts w:ascii="Lato" w:hAnsi="Lato" w:cs="Lato"/>
          <w:lang w:val="en-US"/>
        </w:rPr>
        <w:t xml:space="preserve"> </w:t>
      </w:r>
      <w:proofErr w:type="spellStart"/>
      <w:r w:rsidRPr="00350242">
        <w:rPr>
          <w:rFonts w:ascii="Lato" w:hAnsi="Lato" w:cs="Lato"/>
          <w:lang w:val="en-US"/>
        </w:rPr>
        <w:t>prawo</w:t>
      </w:r>
      <w:proofErr w:type="spellEnd"/>
      <w:r w:rsidRPr="00350242">
        <w:rPr>
          <w:rFonts w:ascii="Lato" w:hAnsi="Lato" w:cs="Lato"/>
          <w:lang w:val="en-US"/>
        </w:rPr>
        <w:t xml:space="preserve"> </w:t>
      </w:r>
      <w:proofErr w:type="spellStart"/>
      <w:r w:rsidRPr="00350242">
        <w:rPr>
          <w:rFonts w:ascii="Lato" w:hAnsi="Lato" w:cs="Lato"/>
          <w:lang w:val="en-US"/>
        </w:rPr>
        <w:t>międzynarodowe</w:t>
      </w:r>
      <w:proofErr w:type="spellEnd"/>
      <w:r w:rsidRPr="00350242">
        <w:rPr>
          <w:rFonts w:ascii="Lato" w:hAnsi="Lato" w:cs="Lato"/>
          <w:lang w:val="en-US"/>
        </w:rPr>
        <w:t xml:space="preserve"> – od </w:t>
      </w:r>
      <w:proofErr w:type="spellStart"/>
      <w:r w:rsidRPr="00350242">
        <w:rPr>
          <w:rFonts w:ascii="Lato" w:hAnsi="Lato" w:cs="Lato"/>
          <w:lang w:val="en-US"/>
        </w:rPr>
        <w:t>prawa</w:t>
      </w:r>
      <w:proofErr w:type="spellEnd"/>
      <w:r w:rsidRPr="00350242">
        <w:rPr>
          <w:rFonts w:ascii="Lato" w:hAnsi="Lato" w:cs="Lato"/>
          <w:lang w:val="en-US"/>
        </w:rPr>
        <w:t xml:space="preserve"> </w:t>
      </w:r>
      <w:proofErr w:type="spellStart"/>
      <w:r w:rsidRPr="00350242">
        <w:rPr>
          <w:rFonts w:ascii="Lato" w:hAnsi="Lato" w:cs="Lato"/>
          <w:lang w:val="en-US"/>
        </w:rPr>
        <w:t>państw</w:t>
      </w:r>
      <w:proofErr w:type="spellEnd"/>
      <w:r w:rsidRPr="00350242">
        <w:rPr>
          <w:rFonts w:ascii="Lato" w:hAnsi="Lato" w:cs="Lato"/>
          <w:lang w:val="en-US"/>
        </w:rPr>
        <w:t xml:space="preserve"> do </w:t>
      </w:r>
      <w:proofErr w:type="spellStart"/>
      <w:r w:rsidRPr="00350242">
        <w:rPr>
          <w:rFonts w:ascii="Lato" w:hAnsi="Lato" w:cs="Lato"/>
          <w:lang w:val="en-US"/>
        </w:rPr>
        <w:t>prawa</w:t>
      </w:r>
      <w:proofErr w:type="spellEnd"/>
      <w:r w:rsidRPr="00350242">
        <w:rPr>
          <w:rFonts w:ascii="Lato" w:hAnsi="Lato" w:cs="Lato"/>
          <w:lang w:val="en-US"/>
        </w:rPr>
        <w:t xml:space="preserve"> </w:t>
      </w:r>
      <w:proofErr w:type="spellStart"/>
      <w:r w:rsidRPr="00350242">
        <w:rPr>
          <w:rFonts w:ascii="Lato" w:hAnsi="Lato" w:cs="Lato"/>
          <w:lang w:val="en-US"/>
        </w:rPr>
        <w:t>ludów</w:t>
      </w:r>
      <w:proofErr w:type="spellEnd"/>
      <w:r w:rsidR="00350242">
        <w:rPr>
          <w:rFonts w:ascii="Lato" w:hAnsi="Lato" w:cs="Lato"/>
          <w:lang w:val="en-US"/>
        </w:rPr>
        <w:t>”</w:t>
      </w:r>
      <w:r>
        <w:rPr>
          <w:rFonts w:ascii="Lato" w:hAnsi="Lato" w:cs="Lato"/>
          <w:lang w:val="en-US"/>
        </w:rPr>
        <w:t xml:space="preserve">, </w:t>
      </w:r>
      <w:r w:rsidRPr="00350242">
        <w:rPr>
          <w:rFonts w:ascii="Lato" w:hAnsi="Lato" w:cs="Lato"/>
          <w:i/>
          <w:iCs/>
          <w:lang w:val="en-US"/>
        </w:rPr>
        <w:t xml:space="preserve">Forum </w:t>
      </w:r>
      <w:proofErr w:type="spellStart"/>
      <w:r w:rsidRPr="00350242">
        <w:rPr>
          <w:rFonts w:ascii="Lato" w:hAnsi="Lato" w:cs="Lato"/>
          <w:i/>
          <w:iCs/>
          <w:lang w:val="en-US"/>
        </w:rPr>
        <w:t>Prawnicze</w:t>
      </w:r>
      <w:proofErr w:type="spellEnd"/>
      <w:r>
        <w:rPr>
          <w:rFonts w:ascii="Lato" w:hAnsi="Lato" w:cs="Lato"/>
          <w:lang w:val="en-US"/>
        </w:rPr>
        <w:t xml:space="preserve"> 3,</w:t>
      </w:r>
      <w:r w:rsidR="00350242">
        <w:rPr>
          <w:rFonts w:ascii="Lato" w:hAnsi="Lato" w:cs="Lato"/>
          <w:lang w:val="en-US"/>
        </w:rPr>
        <w:t xml:space="preserve"> 2011,</w:t>
      </w:r>
      <w:r>
        <w:rPr>
          <w:rFonts w:ascii="Lato" w:hAnsi="Lato" w:cs="Lato"/>
          <w:lang w:val="en-US"/>
        </w:rPr>
        <w:t xml:space="preserve"> </w:t>
      </w:r>
      <w:r w:rsidR="008F6689">
        <w:rPr>
          <w:rFonts w:ascii="Lato" w:hAnsi="Lato" w:cs="Lato"/>
          <w:lang w:val="en-US"/>
        </w:rPr>
        <w:t>p</w:t>
      </w:r>
      <w:r>
        <w:rPr>
          <w:rFonts w:ascii="Lato" w:hAnsi="Lato" w:cs="Lato"/>
          <w:lang w:val="en-US"/>
        </w:rPr>
        <w:t>. 13.</w:t>
      </w:r>
    </w:p>
    <w:p w14:paraId="44D2CA2E" w14:textId="22DCF468" w:rsidR="000E040D" w:rsidRDefault="000E040D" w:rsidP="008F6689">
      <w:pPr>
        <w:jc w:val="both"/>
        <w:rPr>
          <w:rFonts w:ascii="Lato" w:hAnsi="Lato" w:cs="Lato"/>
          <w:lang w:val="en-US"/>
        </w:rPr>
      </w:pPr>
      <w:r>
        <w:rPr>
          <w:rFonts w:ascii="Lato" w:hAnsi="Lato" w:cs="Lato"/>
          <w:lang w:val="en-US"/>
        </w:rPr>
        <w:t xml:space="preserve">Following references: L. </w:t>
      </w:r>
      <w:proofErr w:type="spellStart"/>
      <w:r>
        <w:rPr>
          <w:rFonts w:ascii="Lato" w:hAnsi="Lato" w:cs="Lato"/>
          <w:lang w:val="en-US"/>
        </w:rPr>
        <w:t>Morawski</w:t>
      </w:r>
      <w:proofErr w:type="spellEnd"/>
      <w:r>
        <w:rPr>
          <w:rFonts w:ascii="Lato" w:hAnsi="Lato" w:cs="Lato"/>
          <w:lang w:val="en-US"/>
        </w:rPr>
        <w:t xml:space="preserve">, </w:t>
      </w:r>
      <w:proofErr w:type="spellStart"/>
      <w:r>
        <w:rPr>
          <w:rFonts w:ascii="Lato" w:hAnsi="Lato" w:cs="Lato"/>
          <w:i/>
          <w:iCs/>
          <w:lang w:val="en-US"/>
        </w:rPr>
        <w:t>Suwerenność</w:t>
      </w:r>
      <w:proofErr w:type="spellEnd"/>
      <w:r>
        <w:rPr>
          <w:rFonts w:ascii="Lato" w:hAnsi="Lato" w:cs="Lato"/>
          <w:i/>
          <w:iCs/>
          <w:lang w:val="en-US"/>
        </w:rPr>
        <w:t>…</w:t>
      </w:r>
      <w:r>
        <w:rPr>
          <w:rFonts w:ascii="Lato" w:hAnsi="Lato" w:cs="Lato"/>
          <w:lang w:val="en-US"/>
        </w:rPr>
        <w:t xml:space="preserve">, </w:t>
      </w:r>
      <w:r w:rsidR="008F6689">
        <w:rPr>
          <w:rFonts w:ascii="Lato" w:hAnsi="Lato" w:cs="Lato"/>
          <w:lang w:val="en-US"/>
        </w:rPr>
        <w:t>p</w:t>
      </w:r>
      <w:r>
        <w:rPr>
          <w:rFonts w:ascii="Lato" w:hAnsi="Lato" w:cs="Lato"/>
          <w:lang w:val="en-US"/>
        </w:rPr>
        <w:t>. 20.</w:t>
      </w:r>
    </w:p>
    <w:p w14:paraId="5B45F721" w14:textId="2626A3DD" w:rsidR="000E040D" w:rsidRDefault="000E040D" w:rsidP="008F6689">
      <w:pPr>
        <w:jc w:val="both"/>
        <w:rPr>
          <w:rFonts w:ascii="Lato" w:hAnsi="Lato" w:cs="Lato"/>
          <w:lang w:val="en-US"/>
        </w:rPr>
      </w:pPr>
    </w:p>
    <w:p w14:paraId="3369229D" w14:textId="1101C929" w:rsidR="000E040D" w:rsidRPr="000E040D" w:rsidRDefault="000E040D" w:rsidP="008F6689">
      <w:pPr>
        <w:jc w:val="both"/>
        <w:rPr>
          <w:rFonts w:ascii="Lato" w:hAnsi="Lato" w:cs="Lato"/>
          <w:u w:val="single"/>
          <w:lang w:val="en-US"/>
        </w:rPr>
      </w:pPr>
      <w:r w:rsidRPr="000E040D">
        <w:rPr>
          <w:rFonts w:ascii="Lato" w:hAnsi="Lato" w:cs="Lato"/>
          <w:u w:val="single"/>
          <w:lang w:val="en-US"/>
        </w:rPr>
        <w:t>Commentaries</w:t>
      </w:r>
    </w:p>
    <w:p w14:paraId="0C8EEC82" w14:textId="607C42C4" w:rsidR="000E040D" w:rsidRDefault="00634147" w:rsidP="008F6689">
      <w:pPr>
        <w:jc w:val="both"/>
        <w:rPr>
          <w:rFonts w:ascii="Lato" w:hAnsi="Lato" w:cs="Lato"/>
          <w:lang w:val="en-US"/>
        </w:rPr>
      </w:pPr>
      <w:r>
        <w:rPr>
          <w:rFonts w:ascii="Lato" w:hAnsi="Lato" w:cs="Lato"/>
          <w:lang w:val="en-US"/>
        </w:rPr>
        <w:t xml:space="preserve">First reference: K. </w:t>
      </w:r>
      <w:proofErr w:type="spellStart"/>
      <w:r>
        <w:rPr>
          <w:rFonts w:ascii="Lato" w:hAnsi="Lato" w:cs="Lato"/>
          <w:lang w:val="en-US"/>
        </w:rPr>
        <w:t>Ślebzak</w:t>
      </w:r>
      <w:proofErr w:type="spellEnd"/>
      <w:r>
        <w:rPr>
          <w:rFonts w:ascii="Lato" w:hAnsi="Lato" w:cs="Lato"/>
          <w:lang w:val="en-US"/>
        </w:rPr>
        <w:t xml:space="preserve">, </w:t>
      </w:r>
      <w:r w:rsidRPr="00634147">
        <w:rPr>
          <w:rFonts w:ascii="Lato" w:hAnsi="Lato" w:cs="Lato"/>
          <w:i/>
          <w:iCs/>
          <w:lang w:val="en-US"/>
        </w:rPr>
        <w:t xml:space="preserve">Art. </w:t>
      </w:r>
      <w:r w:rsidRPr="00634147">
        <w:rPr>
          <w:rFonts w:ascii="Lato" w:hAnsi="Lato" w:cs="Lato"/>
          <w:lang w:val="en-US"/>
        </w:rPr>
        <w:t>69 [</w:t>
      </w:r>
      <w:proofErr w:type="spellStart"/>
      <w:r w:rsidRPr="00634147">
        <w:rPr>
          <w:rFonts w:ascii="Lato" w:hAnsi="Lato" w:cs="Lato"/>
          <w:lang w:val="en-US"/>
        </w:rPr>
        <w:t>Prawo</w:t>
      </w:r>
      <w:proofErr w:type="spellEnd"/>
      <w:r w:rsidRPr="00634147">
        <w:rPr>
          <w:rFonts w:ascii="Lato" w:hAnsi="Lato" w:cs="Lato"/>
          <w:lang w:val="en-US"/>
        </w:rPr>
        <w:t xml:space="preserve"> </w:t>
      </w:r>
      <w:proofErr w:type="spellStart"/>
      <w:r w:rsidRPr="00634147">
        <w:rPr>
          <w:rFonts w:ascii="Lato" w:hAnsi="Lato" w:cs="Lato"/>
          <w:lang w:val="en-US"/>
        </w:rPr>
        <w:t>osób</w:t>
      </w:r>
      <w:proofErr w:type="spellEnd"/>
      <w:r w:rsidRPr="00634147">
        <w:rPr>
          <w:rFonts w:ascii="Lato" w:hAnsi="Lato" w:cs="Lato"/>
          <w:lang w:val="en-US"/>
        </w:rPr>
        <w:t xml:space="preserve"> </w:t>
      </w:r>
      <w:proofErr w:type="spellStart"/>
      <w:r w:rsidRPr="00634147">
        <w:rPr>
          <w:rFonts w:ascii="Lato" w:hAnsi="Lato" w:cs="Lato"/>
          <w:lang w:val="en-US"/>
        </w:rPr>
        <w:t>niepełnosprawnych</w:t>
      </w:r>
      <w:proofErr w:type="spellEnd"/>
      <w:r w:rsidRPr="00634147">
        <w:rPr>
          <w:rFonts w:ascii="Lato" w:hAnsi="Lato" w:cs="Lato"/>
          <w:lang w:val="en-US"/>
        </w:rPr>
        <w:t xml:space="preserve"> do </w:t>
      </w:r>
      <w:proofErr w:type="spellStart"/>
      <w:r w:rsidRPr="00634147">
        <w:rPr>
          <w:rFonts w:ascii="Lato" w:hAnsi="Lato" w:cs="Lato"/>
          <w:lang w:val="en-US"/>
        </w:rPr>
        <w:t>pomocy</w:t>
      </w:r>
      <w:proofErr w:type="spellEnd"/>
      <w:r w:rsidRPr="00634147">
        <w:rPr>
          <w:rFonts w:ascii="Lato" w:hAnsi="Lato" w:cs="Lato"/>
          <w:lang w:val="en-US"/>
        </w:rPr>
        <w:t xml:space="preserve"> </w:t>
      </w:r>
      <w:proofErr w:type="spellStart"/>
      <w:r w:rsidRPr="00634147">
        <w:rPr>
          <w:rFonts w:ascii="Lato" w:hAnsi="Lato" w:cs="Lato"/>
          <w:lang w:val="en-US"/>
        </w:rPr>
        <w:t>państwa</w:t>
      </w:r>
      <w:proofErr w:type="spellEnd"/>
      <w:r w:rsidRPr="00634147">
        <w:rPr>
          <w:rFonts w:ascii="Lato" w:hAnsi="Lato" w:cs="Lato"/>
          <w:lang w:val="en-US"/>
        </w:rPr>
        <w:t>]</w:t>
      </w:r>
      <w:r>
        <w:rPr>
          <w:rFonts w:ascii="Lato" w:hAnsi="Lato" w:cs="Lato"/>
          <w:lang w:val="en-US"/>
        </w:rPr>
        <w:t xml:space="preserve"> (in:) M. </w:t>
      </w:r>
      <w:proofErr w:type="spellStart"/>
      <w:r>
        <w:rPr>
          <w:rFonts w:ascii="Lato" w:hAnsi="Lato" w:cs="Lato"/>
          <w:lang w:val="en-US"/>
        </w:rPr>
        <w:t>Safjan</w:t>
      </w:r>
      <w:proofErr w:type="spellEnd"/>
      <w:r>
        <w:rPr>
          <w:rFonts w:ascii="Lato" w:hAnsi="Lato" w:cs="Lato"/>
          <w:lang w:val="en-US"/>
        </w:rPr>
        <w:t xml:space="preserve">, L. </w:t>
      </w:r>
      <w:proofErr w:type="spellStart"/>
      <w:r>
        <w:rPr>
          <w:rFonts w:ascii="Lato" w:hAnsi="Lato" w:cs="Lato"/>
          <w:lang w:val="en-US"/>
        </w:rPr>
        <w:t>Bosek</w:t>
      </w:r>
      <w:proofErr w:type="spellEnd"/>
      <w:r>
        <w:rPr>
          <w:rFonts w:ascii="Lato" w:hAnsi="Lato" w:cs="Lato"/>
          <w:lang w:val="en-US"/>
        </w:rPr>
        <w:t xml:space="preserve"> (red.), </w:t>
      </w:r>
      <w:proofErr w:type="spellStart"/>
      <w:r>
        <w:rPr>
          <w:rFonts w:ascii="Lato" w:hAnsi="Lato" w:cs="Lato"/>
          <w:i/>
          <w:iCs/>
          <w:lang w:val="en-US"/>
        </w:rPr>
        <w:t>Konstytucja</w:t>
      </w:r>
      <w:proofErr w:type="spellEnd"/>
      <w:r>
        <w:rPr>
          <w:rFonts w:ascii="Lato" w:hAnsi="Lato" w:cs="Lato"/>
          <w:i/>
          <w:iCs/>
          <w:lang w:val="en-US"/>
        </w:rPr>
        <w:t xml:space="preserve"> RP. </w:t>
      </w:r>
      <w:proofErr w:type="spellStart"/>
      <w:r>
        <w:rPr>
          <w:rFonts w:ascii="Lato" w:hAnsi="Lato" w:cs="Lato"/>
          <w:i/>
          <w:iCs/>
          <w:lang w:val="en-US"/>
        </w:rPr>
        <w:t>Komentarz</w:t>
      </w:r>
      <w:proofErr w:type="spellEnd"/>
      <w:r>
        <w:rPr>
          <w:rFonts w:ascii="Lato" w:hAnsi="Lato" w:cs="Lato"/>
          <w:i/>
          <w:iCs/>
          <w:lang w:val="en-US"/>
        </w:rPr>
        <w:t>. Art. 1-86</w:t>
      </w:r>
      <w:r>
        <w:rPr>
          <w:rFonts w:ascii="Lato" w:hAnsi="Lato" w:cs="Lato"/>
          <w:lang w:val="en-US"/>
        </w:rPr>
        <w:t xml:space="preserve">, t. 1, Warszawa 2016, </w:t>
      </w:r>
      <w:r w:rsidR="008F6689">
        <w:rPr>
          <w:rFonts w:ascii="Lato" w:hAnsi="Lato" w:cs="Lato"/>
          <w:lang w:val="en-US"/>
        </w:rPr>
        <w:t>p</w:t>
      </w:r>
      <w:r>
        <w:rPr>
          <w:rFonts w:ascii="Lato" w:hAnsi="Lato" w:cs="Lato"/>
          <w:lang w:val="en-US"/>
        </w:rPr>
        <w:t>. 1563-1568.</w:t>
      </w:r>
    </w:p>
    <w:p w14:paraId="0E555CAF" w14:textId="7C15E9CE" w:rsidR="00634147" w:rsidRDefault="00634147" w:rsidP="008F6689">
      <w:pPr>
        <w:jc w:val="both"/>
        <w:rPr>
          <w:rFonts w:ascii="Lato" w:hAnsi="Lato" w:cs="Lato"/>
          <w:lang w:val="en-US"/>
        </w:rPr>
      </w:pPr>
      <w:r>
        <w:rPr>
          <w:rFonts w:ascii="Lato" w:hAnsi="Lato" w:cs="Lato"/>
          <w:lang w:val="en-US"/>
        </w:rPr>
        <w:t xml:space="preserve">Following references: K. </w:t>
      </w:r>
      <w:proofErr w:type="spellStart"/>
      <w:r>
        <w:rPr>
          <w:rFonts w:ascii="Lato" w:hAnsi="Lato" w:cs="Lato"/>
          <w:lang w:val="en-US"/>
        </w:rPr>
        <w:t>Ślebzak</w:t>
      </w:r>
      <w:proofErr w:type="spellEnd"/>
      <w:r>
        <w:rPr>
          <w:rFonts w:ascii="Lato" w:hAnsi="Lato" w:cs="Lato"/>
          <w:lang w:val="en-US"/>
        </w:rPr>
        <w:t xml:space="preserve">, </w:t>
      </w:r>
      <w:r>
        <w:rPr>
          <w:rFonts w:ascii="Lato" w:hAnsi="Lato" w:cs="Lato"/>
          <w:i/>
          <w:iCs/>
          <w:lang w:val="en-US"/>
        </w:rPr>
        <w:t>Art. 69…</w:t>
      </w:r>
      <w:r>
        <w:rPr>
          <w:rFonts w:ascii="Lato" w:hAnsi="Lato" w:cs="Lato"/>
          <w:lang w:val="en-US"/>
        </w:rPr>
        <w:t xml:space="preserve">, </w:t>
      </w:r>
      <w:r w:rsidR="008F6689">
        <w:rPr>
          <w:rFonts w:ascii="Lato" w:hAnsi="Lato" w:cs="Lato"/>
          <w:lang w:val="en-US"/>
        </w:rPr>
        <w:t>p</w:t>
      </w:r>
      <w:r>
        <w:rPr>
          <w:rFonts w:ascii="Lato" w:hAnsi="Lato" w:cs="Lato"/>
          <w:lang w:val="en-US"/>
        </w:rPr>
        <w:t>. 1570.</w:t>
      </w:r>
    </w:p>
    <w:p w14:paraId="3486C921" w14:textId="31DEB5A1" w:rsidR="00634147" w:rsidRDefault="00634147" w:rsidP="008F6689">
      <w:pPr>
        <w:jc w:val="both"/>
        <w:rPr>
          <w:rFonts w:ascii="Lato" w:hAnsi="Lato" w:cs="Lato"/>
          <w:lang w:val="en-US"/>
        </w:rPr>
      </w:pPr>
    </w:p>
    <w:p w14:paraId="47EAB5A2" w14:textId="04FFF8BC" w:rsidR="00634147" w:rsidRDefault="00634147" w:rsidP="008F6689">
      <w:pPr>
        <w:jc w:val="both"/>
        <w:rPr>
          <w:rFonts w:ascii="Lato" w:hAnsi="Lato" w:cs="Lato"/>
          <w:lang w:val="en-US"/>
        </w:rPr>
      </w:pPr>
      <w:r w:rsidRPr="00634147">
        <w:rPr>
          <w:rFonts w:ascii="Lato" w:hAnsi="Lato" w:cs="Lato"/>
          <w:u w:val="single"/>
          <w:lang w:val="en-US"/>
        </w:rPr>
        <w:t>Collective publication</w:t>
      </w:r>
    </w:p>
    <w:p w14:paraId="6AF5F4B3" w14:textId="1A1A39F0" w:rsidR="00634147" w:rsidRDefault="00634147" w:rsidP="008F6689">
      <w:pPr>
        <w:jc w:val="both"/>
        <w:rPr>
          <w:rFonts w:ascii="Lato" w:hAnsi="Lato" w:cs="Lato"/>
          <w:lang w:val="en-US"/>
        </w:rPr>
      </w:pPr>
      <w:r>
        <w:rPr>
          <w:rFonts w:ascii="Lato" w:hAnsi="Lato" w:cs="Lato"/>
          <w:lang w:val="en-US"/>
        </w:rPr>
        <w:t xml:space="preserve">First reference: F. </w:t>
      </w:r>
      <w:proofErr w:type="spellStart"/>
      <w:r>
        <w:rPr>
          <w:rFonts w:ascii="Lato" w:hAnsi="Lato" w:cs="Lato"/>
          <w:lang w:val="en-US"/>
        </w:rPr>
        <w:t>Longchamps</w:t>
      </w:r>
      <w:proofErr w:type="spellEnd"/>
      <w:r>
        <w:rPr>
          <w:rFonts w:ascii="Lato" w:hAnsi="Lato" w:cs="Lato"/>
          <w:lang w:val="en-US"/>
        </w:rPr>
        <w:t xml:space="preserve"> de </w:t>
      </w:r>
      <w:proofErr w:type="spellStart"/>
      <w:r>
        <w:rPr>
          <w:rFonts w:ascii="Lato" w:hAnsi="Lato" w:cs="Lato"/>
          <w:lang w:val="en-US"/>
        </w:rPr>
        <w:t>Bérier</w:t>
      </w:r>
      <w:proofErr w:type="spellEnd"/>
      <w:r w:rsidR="008F6689">
        <w:rPr>
          <w:rFonts w:ascii="Lato" w:hAnsi="Lato" w:cs="Lato"/>
          <w:lang w:val="en-US"/>
        </w:rPr>
        <w:t xml:space="preserve">, </w:t>
      </w:r>
      <w:proofErr w:type="spellStart"/>
      <w:r w:rsidR="008F6689">
        <w:rPr>
          <w:rFonts w:ascii="Lato" w:hAnsi="Lato" w:cs="Lato"/>
          <w:i/>
          <w:iCs/>
          <w:lang w:val="en-US"/>
        </w:rPr>
        <w:t>Spadki</w:t>
      </w:r>
      <w:proofErr w:type="spellEnd"/>
      <w:r w:rsidR="008F6689">
        <w:rPr>
          <w:rFonts w:ascii="Lato" w:hAnsi="Lato" w:cs="Lato"/>
          <w:i/>
          <w:iCs/>
          <w:lang w:val="en-US"/>
        </w:rPr>
        <w:t xml:space="preserve"> </w:t>
      </w:r>
      <w:r w:rsidR="008F6689">
        <w:rPr>
          <w:rFonts w:ascii="Lato" w:hAnsi="Lato" w:cs="Lato"/>
          <w:lang w:val="en-US"/>
        </w:rPr>
        <w:t xml:space="preserve">(in:), W. </w:t>
      </w:r>
      <w:proofErr w:type="spellStart"/>
      <w:r w:rsidR="008F6689">
        <w:rPr>
          <w:rFonts w:ascii="Lato" w:hAnsi="Lato" w:cs="Lato"/>
          <w:lang w:val="en-US"/>
        </w:rPr>
        <w:t>Dajczak</w:t>
      </w:r>
      <w:proofErr w:type="spellEnd"/>
      <w:r w:rsidR="008F6689">
        <w:rPr>
          <w:rFonts w:ascii="Lato" w:hAnsi="Lato" w:cs="Lato"/>
          <w:lang w:val="en-US"/>
        </w:rPr>
        <w:t xml:space="preserve">, T. </w:t>
      </w:r>
      <w:proofErr w:type="spellStart"/>
      <w:r w:rsidR="008F6689">
        <w:rPr>
          <w:rFonts w:ascii="Lato" w:hAnsi="Lato" w:cs="Lato"/>
          <w:lang w:val="en-US"/>
        </w:rPr>
        <w:t>Giaro</w:t>
      </w:r>
      <w:proofErr w:type="spellEnd"/>
      <w:r w:rsidR="008F6689">
        <w:rPr>
          <w:rFonts w:ascii="Lato" w:hAnsi="Lato" w:cs="Lato"/>
          <w:lang w:val="en-US"/>
        </w:rPr>
        <w:t xml:space="preserve">, F. </w:t>
      </w:r>
      <w:proofErr w:type="spellStart"/>
      <w:r w:rsidR="008F6689">
        <w:rPr>
          <w:rFonts w:ascii="Lato" w:hAnsi="Lato" w:cs="Lato"/>
          <w:lang w:val="en-US"/>
        </w:rPr>
        <w:t>Longchamps</w:t>
      </w:r>
      <w:proofErr w:type="spellEnd"/>
      <w:r w:rsidR="008F6689">
        <w:rPr>
          <w:rFonts w:ascii="Lato" w:hAnsi="Lato" w:cs="Lato"/>
          <w:lang w:val="en-US"/>
        </w:rPr>
        <w:t xml:space="preserve"> de </w:t>
      </w:r>
      <w:proofErr w:type="spellStart"/>
      <w:r w:rsidR="008F6689">
        <w:rPr>
          <w:rFonts w:ascii="Lato" w:hAnsi="Lato" w:cs="Lato"/>
          <w:lang w:val="en-US"/>
        </w:rPr>
        <w:t>Bérier</w:t>
      </w:r>
      <w:proofErr w:type="spellEnd"/>
      <w:r w:rsidR="008F6689">
        <w:rPr>
          <w:rFonts w:ascii="Lato" w:hAnsi="Lato" w:cs="Lato"/>
          <w:lang w:val="en-US"/>
        </w:rPr>
        <w:t xml:space="preserve">, </w:t>
      </w:r>
      <w:proofErr w:type="spellStart"/>
      <w:r w:rsidR="008F6689">
        <w:rPr>
          <w:rFonts w:ascii="Lato" w:hAnsi="Lato" w:cs="Lato"/>
          <w:i/>
          <w:iCs/>
          <w:lang w:val="en-US"/>
        </w:rPr>
        <w:t>Prawo</w:t>
      </w:r>
      <w:proofErr w:type="spellEnd"/>
      <w:r w:rsidR="008F6689">
        <w:rPr>
          <w:rFonts w:ascii="Lato" w:hAnsi="Lato" w:cs="Lato"/>
          <w:i/>
          <w:iCs/>
          <w:lang w:val="en-US"/>
        </w:rPr>
        <w:t xml:space="preserve"> </w:t>
      </w:r>
      <w:proofErr w:type="spellStart"/>
      <w:r w:rsidR="008F6689">
        <w:rPr>
          <w:rFonts w:ascii="Lato" w:hAnsi="Lato" w:cs="Lato"/>
          <w:i/>
          <w:iCs/>
          <w:lang w:val="en-US"/>
        </w:rPr>
        <w:t>rzymskie</w:t>
      </w:r>
      <w:proofErr w:type="spellEnd"/>
      <w:r w:rsidR="008F6689">
        <w:rPr>
          <w:rFonts w:ascii="Lato" w:hAnsi="Lato" w:cs="Lato"/>
          <w:i/>
          <w:iCs/>
          <w:lang w:val="en-US"/>
        </w:rPr>
        <w:t xml:space="preserve">. U </w:t>
      </w:r>
      <w:proofErr w:type="spellStart"/>
      <w:r w:rsidR="008F6689">
        <w:rPr>
          <w:rFonts w:ascii="Lato" w:hAnsi="Lato" w:cs="Lato"/>
          <w:i/>
          <w:iCs/>
          <w:lang w:val="en-US"/>
        </w:rPr>
        <w:t>podstaw</w:t>
      </w:r>
      <w:proofErr w:type="spellEnd"/>
      <w:r w:rsidR="008F6689">
        <w:rPr>
          <w:rFonts w:ascii="Lato" w:hAnsi="Lato" w:cs="Lato"/>
          <w:i/>
          <w:iCs/>
          <w:lang w:val="en-US"/>
        </w:rPr>
        <w:t xml:space="preserve"> </w:t>
      </w:r>
      <w:proofErr w:type="spellStart"/>
      <w:r w:rsidR="008F6689">
        <w:rPr>
          <w:rFonts w:ascii="Lato" w:hAnsi="Lato" w:cs="Lato"/>
          <w:i/>
          <w:iCs/>
          <w:lang w:val="en-US"/>
        </w:rPr>
        <w:t>prawa</w:t>
      </w:r>
      <w:proofErr w:type="spellEnd"/>
      <w:r w:rsidR="008F6689">
        <w:rPr>
          <w:rFonts w:ascii="Lato" w:hAnsi="Lato" w:cs="Lato"/>
          <w:i/>
          <w:iCs/>
          <w:lang w:val="en-US"/>
        </w:rPr>
        <w:t xml:space="preserve"> </w:t>
      </w:r>
      <w:proofErr w:type="spellStart"/>
      <w:r w:rsidR="008F6689">
        <w:rPr>
          <w:rFonts w:ascii="Lato" w:hAnsi="Lato" w:cs="Lato"/>
          <w:i/>
          <w:iCs/>
          <w:lang w:val="en-US"/>
        </w:rPr>
        <w:t>prywatnego</w:t>
      </w:r>
      <w:proofErr w:type="spellEnd"/>
      <w:r w:rsidR="008F6689">
        <w:rPr>
          <w:rFonts w:ascii="Lato" w:hAnsi="Lato" w:cs="Lato"/>
          <w:lang w:val="en-US"/>
        </w:rPr>
        <w:t>, ed. 3, Warszawa 2018, p. 260-264.</w:t>
      </w:r>
    </w:p>
    <w:p w14:paraId="008447D8" w14:textId="6A56E0F5" w:rsidR="008F6689" w:rsidRDefault="008F6689" w:rsidP="008F6689">
      <w:pPr>
        <w:jc w:val="both"/>
        <w:rPr>
          <w:rFonts w:ascii="Lato" w:hAnsi="Lato" w:cs="Lato"/>
          <w:lang w:val="en-US"/>
        </w:rPr>
      </w:pPr>
      <w:r>
        <w:rPr>
          <w:rFonts w:ascii="Lato" w:hAnsi="Lato" w:cs="Lato"/>
          <w:lang w:val="en-US"/>
        </w:rPr>
        <w:t xml:space="preserve">Following references: F. </w:t>
      </w:r>
      <w:proofErr w:type="spellStart"/>
      <w:r>
        <w:rPr>
          <w:rFonts w:ascii="Lato" w:hAnsi="Lato" w:cs="Lato"/>
          <w:lang w:val="en-US"/>
        </w:rPr>
        <w:t>Longchamps</w:t>
      </w:r>
      <w:proofErr w:type="spellEnd"/>
      <w:r>
        <w:rPr>
          <w:rFonts w:ascii="Lato" w:hAnsi="Lato" w:cs="Lato"/>
          <w:lang w:val="en-US"/>
        </w:rPr>
        <w:t xml:space="preserve"> de </w:t>
      </w:r>
      <w:proofErr w:type="spellStart"/>
      <w:r>
        <w:rPr>
          <w:rFonts w:ascii="Lato" w:hAnsi="Lato" w:cs="Lato"/>
          <w:lang w:val="en-US"/>
        </w:rPr>
        <w:t>Bérier</w:t>
      </w:r>
      <w:proofErr w:type="spellEnd"/>
      <w:r>
        <w:rPr>
          <w:rFonts w:ascii="Lato" w:hAnsi="Lato" w:cs="Lato"/>
          <w:lang w:val="en-US"/>
        </w:rPr>
        <w:t xml:space="preserve">, </w:t>
      </w:r>
      <w:proofErr w:type="spellStart"/>
      <w:r>
        <w:rPr>
          <w:rFonts w:ascii="Lato" w:hAnsi="Lato" w:cs="Lato"/>
          <w:i/>
          <w:iCs/>
          <w:lang w:val="en-US"/>
        </w:rPr>
        <w:t>Spadki</w:t>
      </w:r>
      <w:proofErr w:type="spellEnd"/>
      <w:r>
        <w:rPr>
          <w:rFonts w:ascii="Lato" w:hAnsi="Lato" w:cs="Lato"/>
          <w:i/>
          <w:iCs/>
          <w:lang w:val="en-US"/>
        </w:rPr>
        <w:t>…</w:t>
      </w:r>
      <w:r>
        <w:rPr>
          <w:rFonts w:ascii="Lato" w:hAnsi="Lato" w:cs="Lato"/>
          <w:lang w:val="en-US"/>
        </w:rPr>
        <w:t>, p. 300.</w:t>
      </w:r>
    </w:p>
    <w:p w14:paraId="6B94EC67" w14:textId="77777777" w:rsidR="008F6689" w:rsidRDefault="008F6689" w:rsidP="008F6689">
      <w:pPr>
        <w:jc w:val="both"/>
        <w:rPr>
          <w:rFonts w:ascii="Lato" w:hAnsi="Lato" w:cs="Lato"/>
          <w:u w:val="single"/>
          <w:lang w:val="en-US"/>
        </w:rPr>
      </w:pPr>
    </w:p>
    <w:p w14:paraId="2200FF9B" w14:textId="534DD298" w:rsidR="008F6689" w:rsidRDefault="008F6689" w:rsidP="008F6689">
      <w:pPr>
        <w:jc w:val="both"/>
        <w:rPr>
          <w:rFonts w:ascii="Lato" w:hAnsi="Lato" w:cs="Lato"/>
          <w:lang w:val="en-US"/>
        </w:rPr>
      </w:pPr>
      <w:r w:rsidRPr="008F6689">
        <w:rPr>
          <w:rFonts w:ascii="Lato" w:hAnsi="Lato" w:cs="Lato"/>
          <w:u w:val="single"/>
          <w:lang w:val="en-US"/>
        </w:rPr>
        <w:t>Court rulings</w:t>
      </w:r>
    </w:p>
    <w:p w14:paraId="0E45C3E2" w14:textId="4448D2AF" w:rsidR="008F6689" w:rsidRPr="008F6689" w:rsidRDefault="008F6689" w:rsidP="008F6689">
      <w:pPr>
        <w:jc w:val="both"/>
        <w:rPr>
          <w:rFonts w:ascii="Lato" w:hAnsi="Lato" w:cs="Lato"/>
          <w:lang w:val="en-US"/>
        </w:rPr>
      </w:pPr>
      <w:r>
        <w:rPr>
          <w:rFonts w:ascii="Lato" w:hAnsi="Lato" w:cs="Lato"/>
          <w:lang w:val="en-US"/>
        </w:rPr>
        <w:t xml:space="preserve">First reference: </w:t>
      </w:r>
      <w:proofErr w:type="spellStart"/>
      <w:r w:rsidRPr="008F6689">
        <w:rPr>
          <w:rFonts w:ascii="Lato" w:hAnsi="Lato" w:cs="Lato"/>
          <w:lang w:val="en-US"/>
        </w:rPr>
        <w:t>Uchwała</w:t>
      </w:r>
      <w:proofErr w:type="spellEnd"/>
      <w:r w:rsidRPr="008F6689">
        <w:rPr>
          <w:rFonts w:ascii="Lato" w:hAnsi="Lato" w:cs="Lato"/>
          <w:lang w:val="en-US"/>
        </w:rPr>
        <w:t xml:space="preserve"> SN z </w:t>
      </w:r>
      <w:proofErr w:type="spellStart"/>
      <w:r w:rsidRPr="008F6689">
        <w:rPr>
          <w:rFonts w:ascii="Lato" w:hAnsi="Lato" w:cs="Lato"/>
          <w:lang w:val="en-US"/>
        </w:rPr>
        <w:t>dnia</w:t>
      </w:r>
      <w:proofErr w:type="spellEnd"/>
      <w:r w:rsidRPr="008F6689">
        <w:rPr>
          <w:rFonts w:ascii="Lato" w:hAnsi="Lato" w:cs="Lato"/>
          <w:lang w:val="en-US"/>
        </w:rPr>
        <w:t xml:space="preserve"> 1 </w:t>
      </w:r>
      <w:proofErr w:type="spellStart"/>
      <w:r w:rsidRPr="008F6689">
        <w:rPr>
          <w:rFonts w:ascii="Lato" w:hAnsi="Lato" w:cs="Lato"/>
          <w:lang w:val="en-US"/>
        </w:rPr>
        <w:t>lipca</w:t>
      </w:r>
      <w:proofErr w:type="spellEnd"/>
      <w:r w:rsidRPr="008F6689">
        <w:rPr>
          <w:rFonts w:ascii="Lato" w:hAnsi="Lato" w:cs="Lato"/>
          <w:lang w:val="en-US"/>
        </w:rPr>
        <w:t xml:space="preserve"> 1993 r., I KZP 11/93, OSNKW 1993, nr 7–8, po</w:t>
      </w:r>
      <w:r w:rsidR="00521A9D">
        <w:rPr>
          <w:rFonts w:ascii="Lato" w:hAnsi="Lato" w:cs="Lato"/>
          <w:lang w:val="en-US"/>
        </w:rPr>
        <w:t>s</w:t>
      </w:r>
      <w:r w:rsidRPr="008F6689">
        <w:rPr>
          <w:rFonts w:ascii="Lato" w:hAnsi="Lato" w:cs="Lato"/>
          <w:lang w:val="en-US"/>
        </w:rPr>
        <w:t>. 45.</w:t>
      </w:r>
      <w:r>
        <w:rPr>
          <w:rFonts w:ascii="Lato" w:hAnsi="Lato" w:cs="Lato"/>
          <w:lang w:val="en-US"/>
        </w:rPr>
        <w:t xml:space="preserve"> see</w:t>
      </w:r>
      <w:r w:rsidRPr="008F6689">
        <w:rPr>
          <w:rFonts w:ascii="Lato" w:hAnsi="Lato" w:cs="Lato"/>
          <w:lang w:val="en-US"/>
        </w:rPr>
        <w:t xml:space="preserve"> </w:t>
      </w:r>
      <w:proofErr w:type="spellStart"/>
      <w:r w:rsidRPr="008F6689">
        <w:rPr>
          <w:rFonts w:ascii="Lato" w:hAnsi="Lato" w:cs="Lato"/>
          <w:lang w:val="en-US"/>
        </w:rPr>
        <w:t>wyrok</w:t>
      </w:r>
      <w:proofErr w:type="spellEnd"/>
      <w:r w:rsidRPr="008F6689">
        <w:rPr>
          <w:rFonts w:ascii="Lato" w:hAnsi="Lato" w:cs="Lato"/>
          <w:lang w:val="en-US"/>
        </w:rPr>
        <w:t xml:space="preserve"> </w:t>
      </w:r>
      <w:proofErr w:type="spellStart"/>
      <w:r w:rsidRPr="008F6689">
        <w:rPr>
          <w:rFonts w:ascii="Lato" w:hAnsi="Lato" w:cs="Lato"/>
          <w:lang w:val="en-US"/>
        </w:rPr>
        <w:t>Sądu</w:t>
      </w:r>
      <w:proofErr w:type="spellEnd"/>
      <w:r w:rsidRPr="008F6689">
        <w:rPr>
          <w:rFonts w:ascii="Lato" w:hAnsi="Lato" w:cs="Lato"/>
          <w:lang w:val="en-US"/>
        </w:rPr>
        <w:t xml:space="preserve"> </w:t>
      </w:r>
      <w:proofErr w:type="spellStart"/>
      <w:r w:rsidRPr="008F6689">
        <w:rPr>
          <w:rFonts w:ascii="Lato" w:hAnsi="Lato" w:cs="Lato"/>
          <w:lang w:val="en-US"/>
        </w:rPr>
        <w:t>Najwyższego</w:t>
      </w:r>
      <w:proofErr w:type="spellEnd"/>
      <w:r w:rsidRPr="008F6689">
        <w:rPr>
          <w:rFonts w:ascii="Lato" w:hAnsi="Lato" w:cs="Lato"/>
          <w:lang w:val="en-US"/>
        </w:rPr>
        <w:t xml:space="preserve"> z </w:t>
      </w:r>
      <w:proofErr w:type="spellStart"/>
      <w:r w:rsidRPr="008F6689">
        <w:rPr>
          <w:rFonts w:ascii="Lato" w:hAnsi="Lato" w:cs="Lato"/>
          <w:lang w:val="en-US"/>
        </w:rPr>
        <w:t>dnia</w:t>
      </w:r>
      <w:proofErr w:type="spellEnd"/>
      <w:r w:rsidRPr="008F6689">
        <w:rPr>
          <w:rFonts w:ascii="Lato" w:hAnsi="Lato" w:cs="Lato"/>
          <w:lang w:val="en-US"/>
        </w:rPr>
        <w:t xml:space="preserve"> 24 </w:t>
      </w:r>
      <w:proofErr w:type="spellStart"/>
      <w:r w:rsidRPr="008F6689">
        <w:rPr>
          <w:rFonts w:ascii="Lato" w:hAnsi="Lato" w:cs="Lato"/>
          <w:lang w:val="en-US"/>
        </w:rPr>
        <w:t>stycznia</w:t>
      </w:r>
      <w:proofErr w:type="spellEnd"/>
      <w:r w:rsidRPr="008F6689">
        <w:rPr>
          <w:rFonts w:ascii="Lato" w:hAnsi="Lato" w:cs="Lato"/>
          <w:lang w:val="en-US"/>
        </w:rPr>
        <w:t xml:space="preserve"> 2013 r., V CSK 63/2012, Lex Polonica n</w:t>
      </w:r>
      <w:r w:rsidR="00521A9D">
        <w:rPr>
          <w:rFonts w:ascii="Lato" w:hAnsi="Lato" w:cs="Lato"/>
          <w:lang w:val="en-US"/>
        </w:rPr>
        <w:t>o.</w:t>
      </w:r>
      <w:r w:rsidRPr="008F6689">
        <w:rPr>
          <w:rFonts w:ascii="Lato" w:hAnsi="Lato" w:cs="Lato"/>
          <w:lang w:val="en-US"/>
        </w:rPr>
        <w:t xml:space="preserve"> 5157863.</w:t>
      </w:r>
    </w:p>
    <w:p w14:paraId="25787431" w14:textId="06CC9642" w:rsidR="008F6689" w:rsidRDefault="008F6689" w:rsidP="008F6689">
      <w:pPr>
        <w:jc w:val="both"/>
        <w:rPr>
          <w:rFonts w:ascii="Lato" w:hAnsi="Lato" w:cs="Lato"/>
          <w:lang w:val="en-US"/>
        </w:rPr>
      </w:pPr>
      <w:r>
        <w:rPr>
          <w:rFonts w:ascii="Lato" w:hAnsi="Lato" w:cs="Lato"/>
          <w:lang w:val="en-US"/>
        </w:rPr>
        <w:t>Following references</w:t>
      </w:r>
      <w:r w:rsidRPr="008F6689">
        <w:rPr>
          <w:rFonts w:ascii="Lato" w:hAnsi="Lato" w:cs="Lato"/>
          <w:lang w:val="en-US"/>
        </w:rPr>
        <w:t xml:space="preserve">: </w:t>
      </w:r>
      <w:proofErr w:type="spellStart"/>
      <w:r w:rsidRPr="008F6689">
        <w:rPr>
          <w:rFonts w:ascii="Lato" w:hAnsi="Lato" w:cs="Lato"/>
          <w:lang w:val="en-US"/>
        </w:rPr>
        <w:t>Wyrok</w:t>
      </w:r>
      <w:proofErr w:type="spellEnd"/>
      <w:r w:rsidRPr="008F6689">
        <w:rPr>
          <w:rFonts w:ascii="Lato" w:hAnsi="Lato" w:cs="Lato"/>
          <w:lang w:val="en-US"/>
        </w:rPr>
        <w:t xml:space="preserve"> TK z </w:t>
      </w:r>
      <w:proofErr w:type="spellStart"/>
      <w:r w:rsidRPr="008F6689">
        <w:rPr>
          <w:rFonts w:ascii="Lato" w:hAnsi="Lato" w:cs="Lato"/>
          <w:lang w:val="en-US"/>
        </w:rPr>
        <w:t>dnia</w:t>
      </w:r>
      <w:proofErr w:type="spellEnd"/>
      <w:r w:rsidRPr="008F6689">
        <w:rPr>
          <w:rFonts w:ascii="Lato" w:hAnsi="Lato" w:cs="Lato"/>
          <w:lang w:val="en-US"/>
        </w:rPr>
        <w:t xml:space="preserve"> 27 </w:t>
      </w:r>
      <w:proofErr w:type="spellStart"/>
      <w:r w:rsidRPr="008F6689">
        <w:rPr>
          <w:rFonts w:ascii="Lato" w:hAnsi="Lato" w:cs="Lato"/>
          <w:lang w:val="en-US"/>
        </w:rPr>
        <w:t>stycznia</w:t>
      </w:r>
      <w:proofErr w:type="spellEnd"/>
      <w:r w:rsidRPr="008F6689">
        <w:rPr>
          <w:rFonts w:ascii="Lato" w:hAnsi="Lato" w:cs="Lato"/>
          <w:lang w:val="en-US"/>
        </w:rPr>
        <w:t xml:space="preserve"> 1999 r., K 1/98, </w:t>
      </w:r>
      <w:r>
        <w:rPr>
          <w:rFonts w:ascii="Lato" w:hAnsi="Lato" w:cs="Lato"/>
          <w:lang w:val="en-US"/>
        </w:rPr>
        <w:t>see</w:t>
      </w:r>
      <w:r w:rsidRPr="008F6689">
        <w:rPr>
          <w:rFonts w:ascii="Lato" w:hAnsi="Lato" w:cs="Lato"/>
          <w:lang w:val="en-US"/>
        </w:rPr>
        <w:t xml:space="preserve"> </w:t>
      </w:r>
      <w:r>
        <w:rPr>
          <w:rFonts w:ascii="Lato" w:hAnsi="Lato" w:cs="Lato"/>
          <w:lang w:val="en-US"/>
        </w:rPr>
        <w:t>above</w:t>
      </w:r>
      <w:r w:rsidRPr="008F6689">
        <w:rPr>
          <w:rFonts w:ascii="Lato" w:hAnsi="Lato" w:cs="Lato"/>
          <w:lang w:val="en-US"/>
        </w:rPr>
        <w:t>.</w:t>
      </w:r>
    </w:p>
    <w:p w14:paraId="71AD221D" w14:textId="021AF1AE" w:rsidR="008F6689" w:rsidRPr="008F6689" w:rsidRDefault="008F6689" w:rsidP="008F6689">
      <w:pPr>
        <w:jc w:val="both"/>
        <w:rPr>
          <w:rFonts w:ascii="Lato" w:hAnsi="Lato" w:cs="Lato"/>
          <w:lang w:val="en-US"/>
        </w:rPr>
      </w:pPr>
      <w:r>
        <w:rPr>
          <w:rFonts w:ascii="Lato" w:hAnsi="Lato" w:cs="Lato"/>
          <w:lang w:val="en-US"/>
        </w:rPr>
        <w:t>Rulings of foreign courts should be cited according to the rules customary in the countries of their origin.</w:t>
      </w:r>
    </w:p>
    <w:p w14:paraId="26DA9B3F" w14:textId="0DA1EF09" w:rsidR="0034055E" w:rsidRDefault="0034055E" w:rsidP="008F6689">
      <w:pPr>
        <w:jc w:val="both"/>
        <w:rPr>
          <w:rFonts w:ascii="Lato" w:hAnsi="Lato" w:cs="Lato"/>
          <w:lang w:val="en-US"/>
        </w:rPr>
      </w:pPr>
    </w:p>
    <w:p w14:paraId="0BDF4224" w14:textId="77777777" w:rsidR="0034055E" w:rsidRDefault="0034055E" w:rsidP="008F6689">
      <w:pPr>
        <w:jc w:val="both"/>
        <w:rPr>
          <w:rFonts w:ascii="Lato" w:hAnsi="Lato" w:cs="Lato"/>
          <w:u w:val="single"/>
          <w:lang w:val="en-US"/>
        </w:rPr>
      </w:pPr>
    </w:p>
    <w:p w14:paraId="185BF3E7" w14:textId="7C29B995" w:rsidR="0034055E" w:rsidRPr="0034055E" w:rsidRDefault="0034055E" w:rsidP="008F6689">
      <w:pPr>
        <w:jc w:val="both"/>
        <w:rPr>
          <w:rFonts w:ascii="Lato" w:hAnsi="Lato" w:cs="Lato"/>
          <w:lang w:val="en-US"/>
        </w:rPr>
      </w:pPr>
      <w:r>
        <w:rPr>
          <w:rFonts w:ascii="Lato" w:hAnsi="Lato" w:cs="Lato"/>
          <w:u w:val="single"/>
          <w:lang w:val="en-US"/>
        </w:rPr>
        <w:lastRenderedPageBreak/>
        <w:t>On</w:t>
      </w:r>
      <w:r w:rsidR="00521A9D">
        <w:rPr>
          <w:rFonts w:ascii="Lato" w:hAnsi="Lato" w:cs="Lato"/>
          <w:u w:val="single"/>
          <w:lang w:val="en-US"/>
        </w:rPr>
        <w:t>-</w:t>
      </w:r>
      <w:r>
        <w:rPr>
          <w:rFonts w:ascii="Lato" w:hAnsi="Lato" w:cs="Lato"/>
          <w:u w:val="single"/>
          <w:lang w:val="en-US"/>
        </w:rPr>
        <w:t>line materials</w:t>
      </w:r>
    </w:p>
    <w:p w14:paraId="67EB8327" w14:textId="77777777" w:rsidR="0034055E" w:rsidRPr="0034055E" w:rsidRDefault="0034055E" w:rsidP="0034055E">
      <w:pPr>
        <w:jc w:val="both"/>
        <w:rPr>
          <w:rFonts w:ascii="Lato" w:hAnsi="Lato" w:cs="Lato"/>
          <w:lang w:val="en-US"/>
        </w:rPr>
      </w:pPr>
      <w:proofErr w:type="spellStart"/>
      <w:r w:rsidRPr="0034055E">
        <w:rPr>
          <w:rFonts w:ascii="Lato" w:hAnsi="Lato" w:cs="Lato"/>
          <w:lang w:val="en-US"/>
        </w:rPr>
        <w:t>Konstytucja</w:t>
      </w:r>
      <w:proofErr w:type="spellEnd"/>
      <w:r w:rsidRPr="0034055E">
        <w:rPr>
          <w:rFonts w:ascii="Lato" w:hAnsi="Lato" w:cs="Lato"/>
          <w:lang w:val="en-US"/>
        </w:rPr>
        <w:t xml:space="preserve"> </w:t>
      </w:r>
      <w:proofErr w:type="spellStart"/>
      <w:r w:rsidRPr="0034055E">
        <w:rPr>
          <w:rFonts w:ascii="Lato" w:hAnsi="Lato" w:cs="Lato"/>
          <w:lang w:val="en-US"/>
        </w:rPr>
        <w:t>Stanów</w:t>
      </w:r>
      <w:proofErr w:type="spellEnd"/>
      <w:r w:rsidRPr="0034055E">
        <w:rPr>
          <w:rFonts w:ascii="Lato" w:hAnsi="Lato" w:cs="Lato"/>
          <w:lang w:val="en-US"/>
        </w:rPr>
        <w:t xml:space="preserve"> </w:t>
      </w:r>
      <w:proofErr w:type="spellStart"/>
      <w:r w:rsidRPr="0034055E">
        <w:rPr>
          <w:rFonts w:ascii="Lato" w:hAnsi="Lato" w:cs="Lato"/>
          <w:lang w:val="en-US"/>
        </w:rPr>
        <w:t>Zjednoczonych</w:t>
      </w:r>
      <w:proofErr w:type="spellEnd"/>
      <w:r w:rsidRPr="0034055E">
        <w:rPr>
          <w:rFonts w:ascii="Lato" w:hAnsi="Lato" w:cs="Lato"/>
          <w:lang w:val="en-US"/>
        </w:rPr>
        <w:t xml:space="preserve"> </w:t>
      </w:r>
      <w:proofErr w:type="spellStart"/>
      <w:r w:rsidRPr="0034055E">
        <w:rPr>
          <w:rFonts w:ascii="Lato" w:hAnsi="Lato" w:cs="Lato"/>
          <w:lang w:val="en-US"/>
        </w:rPr>
        <w:t>Ameryki</w:t>
      </w:r>
      <w:proofErr w:type="spellEnd"/>
      <w:r w:rsidRPr="0034055E">
        <w:rPr>
          <w:rFonts w:ascii="Lato" w:hAnsi="Lato" w:cs="Lato"/>
          <w:lang w:val="en-US"/>
        </w:rPr>
        <w:t xml:space="preserve">, </w:t>
      </w:r>
      <w:proofErr w:type="spellStart"/>
      <w:r w:rsidRPr="0034055E">
        <w:rPr>
          <w:rFonts w:ascii="Lato" w:hAnsi="Lato" w:cs="Lato"/>
          <w:lang w:val="en-US"/>
        </w:rPr>
        <w:t>przeł</w:t>
      </w:r>
      <w:proofErr w:type="spellEnd"/>
      <w:r w:rsidRPr="0034055E">
        <w:rPr>
          <w:rFonts w:ascii="Lato" w:hAnsi="Lato" w:cs="Lato"/>
          <w:lang w:val="en-US"/>
        </w:rPr>
        <w:t xml:space="preserve">. A. </w:t>
      </w:r>
      <w:proofErr w:type="spellStart"/>
      <w:r w:rsidRPr="0034055E">
        <w:rPr>
          <w:rFonts w:ascii="Lato" w:hAnsi="Lato" w:cs="Lato"/>
          <w:lang w:val="en-US"/>
        </w:rPr>
        <w:t>Pułło</w:t>
      </w:r>
      <w:proofErr w:type="spellEnd"/>
      <w:r w:rsidRPr="0034055E">
        <w:rPr>
          <w:rFonts w:ascii="Lato" w:hAnsi="Lato" w:cs="Lato"/>
          <w:lang w:val="en-US"/>
        </w:rPr>
        <w:t>, Warszawa 2002,</w:t>
      </w:r>
    </w:p>
    <w:p w14:paraId="373DE247" w14:textId="66D24637" w:rsidR="0034055E" w:rsidRDefault="0034055E" w:rsidP="0034055E">
      <w:pPr>
        <w:jc w:val="both"/>
        <w:rPr>
          <w:rFonts w:ascii="Lato" w:hAnsi="Lato" w:cs="Lato"/>
          <w:u w:val="single"/>
          <w:lang w:val="en-US"/>
        </w:rPr>
      </w:pPr>
      <w:r w:rsidRPr="0034055E">
        <w:rPr>
          <w:rFonts w:ascii="Lato" w:hAnsi="Lato" w:cs="Lato"/>
          <w:lang w:val="en-US"/>
        </w:rPr>
        <w:t>http://libr.sejm.gov.pl/tek01/txt/konst/usa.html (</w:t>
      </w:r>
      <w:r>
        <w:rPr>
          <w:rFonts w:ascii="Lato" w:hAnsi="Lato" w:cs="Lato"/>
          <w:lang w:val="en-US"/>
        </w:rPr>
        <w:t>access</w:t>
      </w:r>
      <w:r w:rsidRPr="0034055E">
        <w:rPr>
          <w:rFonts w:ascii="Lato" w:hAnsi="Lato" w:cs="Lato"/>
          <w:lang w:val="en-US"/>
        </w:rPr>
        <w:t xml:space="preserve"> 20.02.2020</w:t>
      </w:r>
      <w:r w:rsidRPr="0034055E">
        <w:rPr>
          <w:rFonts w:ascii="Lato" w:hAnsi="Lato" w:cs="Lato"/>
          <w:u w:val="single"/>
          <w:lang w:val="en-US"/>
        </w:rPr>
        <w:t>).</w:t>
      </w:r>
    </w:p>
    <w:p w14:paraId="2BDC933C" w14:textId="0B6E8E81" w:rsidR="0034055E" w:rsidRPr="0034055E" w:rsidRDefault="0034055E" w:rsidP="0034055E">
      <w:pPr>
        <w:pStyle w:val="Akapitzlist"/>
        <w:numPr>
          <w:ilvl w:val="0"/>
          <w:numId w:val="3"/>
        </w:numPr>
        <w:jc w:val="both"/>
        <w:rPr>
          <w:rFonts w:ascii="Lato" w:hAnsi="Lato" w:cs="Lato"/>
          <w:u w:val="single"/>
          <w:lang w:val="en-US"/>
        </w:rPr>
      </w:pPr>
      <w:r>
        <w:rPr>
          <w:rFonts w:ascii="Lato" w:hAnsi="Lato" w:cs="Lato"/>
          <w:color w:val="FF0000"/>
          <w:lang w:val="en-US"/>
        </w:rPr>
        <w:t>Bibliography</w:t>
      </w:r>
      <w:r>
        <w:rPr>
          <w:rFonts w:ascii="Lato" w:hAnsi="Lato" w:cs="Lato"/>
          <w:lang w:val="en-US"/>
        </w:rPr>
        <w:t xml:space="preserve"> – should be made in alphabetical order, as in examples provided below:</w:t>
      </w:r>
    </w:p>
    <w:p w14:paraId="2B5D9BA5" w14:textId="246245C1" w:rsidR="0034055E" w:rsidRDefault="0034055E" w:rsidP="0034055E">
      <w:pPr>
        <w:jc w:val="both"/>
      </w:pPr>
      <w:proofErr w:type="spellStart"/>
      <w:r>
        <w:t>Finnis</w:t>
      </w:r>
      <w:proofErr w:type="spellEnd"/>
      <w:r>
        <w:t xml:space="preserve"> J., </w:t>
      </w:r>
      <w:r w:rsidRPr="00521A9D">
        <w:rPr>
          <w:i/>
          <w:iCs/>
        </w:rPr>
        <w:t>Prawo naturalne i uprawnienia naturalne</w:t>
      </w:r>
      <w:r>
        <w:t xml:space="preserve">, przeł. K. </w:t>
      </w:r>
      <w:proofErr w:type="spellStart"/>
      <w:r>
        <w:t>Lossman</w:t>
      </w:r>
      <w:proofErr w:type="spellEnd"/>
      <w:r>
        <w:t>, Warszawa [Dom Wydawniczy ABC] 2001.</w:t>
      </w:r>
    </w:p>
    <w:p w14:paraId="691AC6B1" w14:textId="4D791EDD" w:rsidR="0034055E" w:rsidRDefault="0034055E" w:rsidP="0034055E">
      <w:pPr>
        <w:jc w:val="both"/>
      </w:pPr>
      <w:r w:rsidRPr="00521A9D">
        <w:rPr>
          <w:i/>
          <w:iCs/>
        </w:rPr>
        <w:t>Konstytucja Stanów Zjednoczonych Ameryki</w:t>
      </w:r>
      <w:r>
        <w:t xml:space="preserve">, przeł. A. </w:t>
      </w:r>
      <w:proofErr w:type="spellStart"/>
      <w:r>
        <w:t>Pułło</w:t>
      </w:r>
      <w:proofErr w:type="spellEnd"/>
      <w:r>
        <w:t>, Warszawa [Wydawnictwo Sejmowe] 2002, http://libr.sejm.gov.pl/tek01/txt/konst/usa.html (</w:t>
      </w:r>
      <w:proofErr w:type="spellStart"/>
      <w:r w:rsidR="00521A9D">
        <w:t>access</w:t>
      </w:r>
      <w:proofErr w:type="spellEnd"/>
      <w:r>
        <w:t xml:space="preserve"> 20.02.2020).</w:t>
      </w:r>
    </w:p>
    <w:p w14:paraId="5205D6A7" w14:textId="17E0A7BC" w:rsidR="0034055E" w:rsidRDefault="0034055E" w:rsidP="0034055E">
      <w:pPr>
        <w:jc w:val="both"/>
      </w:pPr>
      <w:r>
        <w:t xml:space="preserve">Kudła W., </w:t>
      </w:r>
      <w:r w:rsidRPr="00521A9D">
        <w:rPr>
          <w:i/>
          <w:iCs/>
        </w:rPr>
        <w:t>Wrogość wobec religii. Ostrzeżenia ze strony Sądu Najwyższego USA</w:t>
      </w:r>
      <w:r>
        <w:t>, Kraków [Księgarnia Akademicka] 2019.</w:t>
      </w:r>
    </w:p>
    <w:p w14:paraId="208F8FCC" w14:textId="7B2D72C4" w:rsidR="0034055E" w:rsidRDefault="0034055E" w:rsidP="0034055E">
      <w:pPr>
        <w:jc w:val="both"/>
      </w:pPr>
      <w:proofErr w:type="spellStart"/>
      <w:r>
        <w:t>Lemkin</w:t>
      </w:r>
      <w:proofErr w:type="spellEnd"/>
      <w:r>
        <w:t xml:space="preserve"> R., </w:t>
      </w:r>
      <w:proofErr w:type="spellStart"/>
      <w:r w:rsidRPr="00521A9D">
        <w:rPr>
          <w:i/>
          <w:iCs/>
        </w:rPr>
        <w:t>Genocide</w:t>
      </w:r>
      <w:proofErr w:type="spellEnd"/>
      <w:r>
        <w:t>, „</w:t>
      </w:r>
      <w:r w:rsidRPr="00521A9D">
        <w:t>American Scholar</w:t>
      </w:r>
      <w:r>
        <w:t xml:space="preserve">” 1946, vol. 15, no. 2, </w:t>
      </w:r>
      <w:r w:rsidR="00521A9D">
        <w:t>p</w:t>
      </w:r>
      <w:r>
        <w:t>. 227–230.</w:t>
      </w:r>
    </w:p>
    <w:p w14:paraId="43B5E54D" w14:textId="1998CD74" w:rsidR="0034055E" w:rsidRDefault="0034055E" w:rsidP="0034055E">
      <w:pPr>
        <w:jc w:val="both"/>
      </w:pPr>
      <w:proofErr w:type="spellStart"/>
      <w:r>
        <w:t>Longchamps</w:t>
      </w:r>
      <w:proofErr w:type="spellEnd"/>
      <w:r>
        <w:t xml:space="preserve"> de </w:t>
      </w:r>
      <w:proofErr w:type="spellStart"/>
      <w:r>
        <w:t>Bérier</w:t>
      </w:r>
      <w:proofErr w:type="spellEnd"/>
      <w:r>
        <w:t xml:space="preserve"> F., </w:t>
      </w:r>
      <w:r w:rsidRPr="00521A9D">
        <w:rPr>
          <w:i/>
          <w:iCs/>
        </w:rPr>
        <w:t>Spadki</w:t>
      </w:r>
      <w:r>
        <w:t xml:space="preserve"> (</w:t>
      </w:r>
      <w:r w:rsidR="00521A9D">
        <w:t>in</w:t>
      </w:r>
      <w:r>
        <w:t xml:space="preserve">:), W. </w:t>
      </w:r>
      <w:proofErr w:type="spellStart"/>
      <w:r>
        <w:t>Dajczak</w:t>
      </w:r>
      <w:proofErr w:type="spellEnd"/>
      <w:r>
        <w:t xml:space="preserve">, T. </w:t>
      </w:r>
      <w:proofErr w:type="spellStart"/>
      <w:r>
        <w:t>Giaro</w:t>
      </w:r>
      <w:proofErr w:type="spellEnd"/>
      <w:r>
        <w:t xml:space="preserve">, F. </w:t>
      </w:r>
      <w:proofErr w:type="spellStart"/>
      <w:r>
        <w:t>Longchamps</w:t>
      </w:r>
      <w:proofErr w:type="spellEnd"/>
      <w:r>
        <w:t xml:space="preserve"> de </w:t>
      </w:r>
      <w:proofErr w:type="spellStart"/>
      <w:r>
        <w:t>Bérier</w:t>
      </w:r>
      <w:proofErr w:type="spellEnd"/>
      <w:r>
        <w:t xml:space="preserve">, Prawo rzymskie. U podstaw prawa prywatnego, </w:t>
      </w:r>
      <w:r w:rsidR="00521A9D">
        <w:t>ed.</w:t>
      </w:r>
      <w:r>
        <w:t xml:space="preserve"> 3, Warszawa [PWN] 2018, </w:t>
      </w:r>
      <w:r w:rsidR="00521A9D">
        <w:t>p</w:t>
      </w:r>
      <w:r>
        <w:t>. 253–384.</w:t>
      </w:r>
    </w:p>
    <w:p w14:paraId="7E8828AB" w14:textId="3A7866A4" w:rsidR="0034055E" w:rsidRDefault="0034055E" w:rsidP="0034055E">
      <w:pPr>
        <w:jc w:val="both"/>
      </w:pPr>
      <w:r>
        <w:t xml:space="preserve">Makarewicz J., </w:t>
      </w:r>
      <w:r w:rsidRPr="00521A9D">
        <w:rPr>
          <w:i/>
          <w:iCs/>
        </w:rPr>
        <w:t>Prawo karne. 1, Wykład porównawczy z uwzględnieniem prawa obowiązującego w Rzeczypospolitej Polskiej</w:t>
      </w:r>
      <w:r>
        <w:t>, Lwów, Warszawa [Książnica Polska] 1924.</w:t>
      </w:r>
    </w:p>
    <w:p w14:paraId="38068576" w14:textId="6E193765" w:rsidR="0034055E" w:rsidRDefault="0034055E" w:rsidP="0034055E">
      <w:pPr>
        <w:jc w:val="both"/>
      </w:pPr>
      <w:r>
        <w:t>Morawski L</w:t>
      </w:r>
      <w:r w:rsidRPr="00521A9D">
        <w:rPr>
          <w:i/>
          <w:iCs/>
        </w:rPr>
        <w:t xml:space="preserve">., </w:t>
      </w:r>
      <w:r w:rsidR="00350242" w:rsidRPr="00350242">
        <w:rPr>
          <w:lang w:val="en-US"/>
        </w:rPr>
        <w:t>“</w:t>
      </w:r>
      <w:proofErr w:type="spellStart"/>
      <w:r w:rsidR="00350242" w:rsidRPr="00350242">
        <w:rPr>
          <w:lang w:val="en-US"/>
        </w:rPr>
        <w:t>S</w:t>
      </w:r>
      <w:r w:rsidRPr="00350242">
        <w:rPr>
          <w:lang w:val="en-US"/>
        </w:rPr>
        <w:t>uwerenność</w:t>
      </w:r>
      <w:proofErr w:type="spellEnd"/>
      <w:r w:rsidRPr="00350242">
        <w:rPr>
          <w:lang w:val="en-US"/>
        </w:rPr>
        <w:t xml:space="preserve"> </w:t>
      </w:r>
      <w:proofErr w:type="spellStart"/>
      <w:r w:rsidRPr="00350242">
        <w:rPr>
          <w:lang w:val="en-US"/>
        </w:rPr>
        <w:t>i</w:t>
      </w:r>
      <w:proofErr w:type="spellEnd"/>
      <w:r w:rsidRPr="00350242">
        <w:rPr>
          <w:lang w:val="en-US"/>
        </w:rPr>
        <w:t xml:space="preserve"> </w:t>
      </w:r>
      <w:proofErr w:type="spellStart"/>
      <w:r w:rsidRPr="00350242">
        <w:rPr>
          <w:lang w:val="en-US"/>
        </w:rPr>
        <w:t>prawo</w:t>
      </w:r>
      <w:proofErr w:type="spellEnd"/>
      <w:r w:rsidRPr="00350242">
        <w:rPr>
          <w:lang w:val="en-US"/>
        </w:rPr>
        <w:t xml:space="preserve"> </w:t>
      </w:r>
      <w:proofErr w:type="spellStart"/>
      <w:r w:rsidRPr="00350242">
        <w:rPr>
          <w:lang w:val="en-US"/>
        </w:rPr>
        <w:t>międzynarodowe</w:t>
      </w:r>
      <w:proofErr w:type="spellEnd"/>
      <w:r w:rsidRPr="00350242">
        <w:rPr>
          <w:lang w:val="en-US"/>
        </w:rPr>
        <w:t xml:space="preserve"> – od </w:t>
      </w:r>
      <w:proofErr w:type="spellStart"/>
      <w:r w:rsidRPr="00350242">
        <w:rPr>
          <w:lang w:val="en-US"/>
        </w:rPr>
        <w:t>prawa</w:t>
      </w:r>
      <w:proofErr w:type="spellEnd"/>
      <w:r w:rsidRPr="00350242">
        <w:rPr>
          <w:lang w:val="en-US"/>
        </w:rPr>
        <w:t xml:space="preserve"> </w:t>
      </w:r>
      <w:proofErr w:type="spellStart"/>
      <w:r w:rsidRPr="00350242">
        <w:rPr>
          <w:lang w:val="en-US"/>
        </w:rPr>
        <w:t>państw</w:t>
      </w:r>
      <w:proofErr w:type="spellEnd"/>
      <w:r w:rsidRPr="00350242">
        <w:rPr>
          <w:lang w:val="en-US"/>
        </w:rPr>
        <w:t xml:space="preserve"> do </w:t>
      </w:r>
      <w:proofErr w:type="spellStart"/>
      <w:r w:rsidRPr="00350242">
        <w:rPr>
          <w:lang w:val="en-US"/>
        </w:rPr>
        <w:t>prawa</w:t>
      </w:r>
      <w:proofErr w:type="spellEnd"/>
      <w:r w:rsidRPr="00350242">
        <w:rPr>
          <w:lang w:val="en-US"/>
        </w:rPr>
        <w:t xml:space="preserve"> </w:t>
      </w:r>
      <w:proofErr w:type="spellStart"/>
      <w:r w:rsidRPr="00350242">
        <w:rPr>
          <w:lang w:val="en-US"/>
        </w:rPr>
        <w:t>ludów</w:t>
      </w:r>
      <w:proofErr w:type="spellEnd"/>
      <w:r w:rsidR="003C437B">
        <w:rPr>
          <w:lang w:val="en-US"/>
        </w:rPr>
        <w:t>”</w:t>
      </w:r>
      <w:r w:rsidRPr="00350242">
        <w:rPr>
          <w:lang w:val="en-US"/>
        </w:rPr>
        <w:t xml:space="preserve">, </w:t>
      </w:r>
      <w:r w:rsidRPr="003C437B">
        <w:rPr>
          <w:i/>
          <w:iCs/>
          <w:lang w:val="en-US"/>
        </w:rPr>
        <w:t xml:space="preserve">Forum </w:t>
      </w:r>
      <w:bookmarkStart w:id="0" w:name="_GoBack"/>
      <w:proofErr w:type="spellStart"/>
      <w:r w:rsidRPr="003C437B">
        <w:rPr>
          <w:i/>
          <w:iCs/>
          <w:lang w:val="en-US"/>
        </w:rPr>
        <w:t>Prawnicze</w:t>
      </w:r>
      <w:bookmarkEnd w:id="0"/>
      <w:proofErr w:type="spellEnd"/>
      <w:r w:rsidR="00350242">
        <w:rPr>
          <w:lang w:val="en-US"/>
        </w:rPr>
        <w:t xml:space="preserve"> 3,</w:t>
      </w:r>
      <w:r>
        <w:t xml:space="preserve"> 2011, </w:t>
      </w:r>
      <w:r w:rsidR="00521A9D">
        <w:t>p</w:t>
      </w:r>
      <w:r>
        <w:t>. 13–36.</w:t>
      </w:r>
    </w:p>
    <w:p w14:paraId="75EF8A0B" w14:textId="4AF1AD7F" w:rsidR="0034055E" w:rsidRDefault="0034055E" w:rsidP="0034055E">
      <w:pPr>
        <w:jc w:val="both"/>
      </w:pPr>
      <w:proofErr w:type="spellStart"/>
      <w:r>
        <w:t>Orestano</w:t>
      </w:r>
      <w:proofErr w:type="spellEnd"/>
      <w:r>
        <w:t xml:space="preserve"> R., </w:t>
      </w:r>
      <w:proofErr w:type="spellStart"/>
      <w:r w:rsidRPr="00521A9D">
        <w:rPr>
          <w:i/>
          <w:iCs/>
        </w:rPr>
        <w:t>Diritto</w:t>
      </w:r>
      <w:proofErr w:type="spellEnd"/>
      <w:r w:rsidRPr="00521A9D">
        <w:rPr>
          <w:i/>
          <w:iCs/>
        </w:rPr>
        <w:t xml:space="preserve"> </w:t>
      </w:r>
      <w:proofErr w:type="spellStart"/>
      <w:r w:rsidRPr="00521A9D">
        <w:rPr>
          <w:i/>
          <w:iCs/>
        </w:rPr>
        <w:t>romano</w:t>
      </w:r>
      <w:proofErr w:type="spellEnd"/>
      <w:r w:rsidRPr="00521A9D">
        <w:rPr>
          <w:i/>
          <w:iCs/>
        </w:rPr>
        <w:t xml:space="preserve">, osobno opublikowane hasło z encyklopedii </w:t>
      </w:r>
      <w:proofErr w:type="spellStart"/>
      <w:r w:rsidRPr="00521A9D">
        <w:rPr>
          <w:i/>
          <w:iCs/>
        </w:rPr>
        <w:t>Novissimo</w:t>
      </w:r>
      <w:proofErr w:type="spellEnd"/>
      <w:r w:rsidRPr="00521A9D">
        <w:rPr>
          <w:i/>
          <w:iCs/>
        </w:rPr>
        <w:t xml:space="preserve"> </w:t>
      </w:r>
      <w:proofErr w:type="spellStart"/>
      <w:r w:rsidRPr="00521A9D">
        <w:rPr>
          <w:i/>
          <w:iCs/>
        </w:rPr>
        <w:t>Digesto</w:t>
      </w:r>
      <w:proofErr w:type="spellEnd"/>
      <w:r w:rsidRPr="00521A9D">
        <w:rPr>
          <w:i/>
          <w:iCs/>
        </w:rPr>
        <w:t xml:space="preserve"> Italiano</w:t>
      </w:r>
      <w:r>
        <w:t xml:space="preserve">, </w:t>
      </w:r>
      <w:proofErr w:type="spellStart"/>
      <w:r>
        <w:t>Torino</w:t>
      </w:r>
      <w:proofErr w:type="spellEnd"/>
      <w:r>
        <w:t xml:space="preserve"> [UTET] 1960, </w:t>
      </w:r>
      <w:r w:rsidR="00521A9D">
        <w:t>p</w:t>
      </w:r>
      <w:r>
        <w:t>. 1–77.</w:t>
      </w:r>
    </w:p>
    <w:p w14:paraId="359AE29B" w14:textId="171B22FB" w:rsidR="0034055E" w:rsidRDefault="0034055E" w:rsidP="0034055E">
      <w:pPr>
        <w:jc w:val="both"/>
      </w:pPr>
      <w:proofErr w:type="spellStart"/>
      <w:r>
        <w:t>Petrażycki</w:t>
      </w:r>
      <w:proofErr w:type="spellEnd"/>
      <w:r>
        <w:t xml:space="preserve"> L. (</w:t>
      </w:r>
      <w:proofErr w:type="spellStart"/>
      <w:r>
        <w:t>Petrażickij</w:t>
      </w:r>
      <w:proofErr w:type="spellEnd"/>
      <w:r>
        <w:t xml:space="preserve"> L.I.), </w:t>
      </w:r>
      <w:proofErr w:type="spellStart"/>
      <w:r w:rsidRPr="00521A9D">
        <w:rPr>
          <w:i/>
          <w:iCs/>
        </w:rPr>
        <w:t>Teoriâ</w:t>
      </w:r>
      <w:proofErr w:type="spellEnd"/>
      <w:r w:rsidRPr="00521A9D">
        <w:rPr>
          <w:i/>
          <w:iCs/>
        </w:rPr>
        <w:t xml:space="preserve"> </w:t>
      </w:r>
      <w:proofErr w:type="spellStart"/>
      <w:r w:rsidRPr="00521A9D">
        <w:rPr>
          <w:i/>
          <w:iCs/>
        </w:rPr>
        <w:t>prava</w:t>
      </w:r>
      <w:proofErr w:type="spellEnd"/>
      <w:r w:rsidRPr="00521A9D">
        <w:rPr>
          <w:i/>
          <w:iCs/>
        </w:rPr>
        <w:t xml:space="preserve"> i </w:t>
      </w:r>
      <w:proofErr w:type="spellStart"/>
      <w:r w:rsidRPr="00521A9D">
        <w:rPr>
          <w:i/>
          <w:iCs/>
        </w:rPr>
        <w:t>gosudarstva</w:t>
      </w:r>
      <w:proofErr w:type="spellEnd"/>
      <w:r w:rsidRPr="00521A9D">
        <w:rPr>
          <w:i/>
          <w:iCs/>
        </w:rPr>
        <w:t xml:space="preserve"> v </w:t>
      </w:r>
      <w:proofErr w:type="spellStart"/>
      <w:r w:rsidRPr="00521A9D">
        <w:rPr>
          <w:i/>
          <w:iCs/>
        </w:rPr>
        <w:t>svâzi</w:t>
      </w:r>
      <w:proofErr w:type="spellEnd"/>
      <w:r w:rsidRPr="00521A9D">
        <w:rPr>
          <w:i/>
          <w:iCs/>
        </w:rPr>
        <w:t xml:space="preserve"> s </w:t>
      </w:r>
      <w:proofErr w:type="spellStart"/>
      <w:r w:rsidRPr="00521A9D">
        <w:rPr>
          <w:i/>
          <w:iCs/>
        </w:rPr>
        <w:t>teoriej</w:t>
      </w:r>
      <w:proofErr w:type="spellEnd"/>
      <w:r w:rsidRPr="00521A9D">
        <w:rPr>
          <w:i/>
          <w:iCs/>
        </w:rPr>
        <w:t xml:space="preserve"> </w:t>
      </w:r>
      <w:proofErr w:type="spellStart"/>
      <w:r w:rsidRPr="00521A9D">
        <w:rPr>
          <w:i/>
          <w:iCs/>
        </w:rPr>
        <w:t>nravstvennosti</w:t>
      </w:r>
      <w:proofErr w:type="spellEnd"/>
      <w:r>
        <w:t>, t. 1, S.-</w:t>
      </w:r>
      <w:proofErr w:type="spellStart"/>
      <w:r>
        <w:t>Peterburg</w:t>
      </w:r>
      <w:proofErr w:type="spellEnd"/>
      <w:r>
        <w:t xml:space="preserve"> [</w:t>
      </w:r>
      <w:proofErr w:type="spellStart"/>
      <w:r>
        <w:t>Jekatieringovskoje</w:t>
      </w:r>
      <w:proofErr w:type="spellEnd"/>
      <w:r>
        <w:t xml:space="preserve"> </w:t>
      </w:r>
      <w:proofErr w:type="spellStart"/>
      <w:r>
        <w:t>Pietshatnoje</w:t>
      </w:r>
      <w:proofErr w:type="spellEnd"/>
      <w:r>
        <w:t xml:space="preserve"> </w:t>
      </w:r>
      <w:proofErr w:type="spellStart"/>
      <w:r>
        <w:t>Dielo</w:t>
      </w:r>
      <w:proofErr w:type="spellEnd"/>
      <w:r>
        <w:t>] 1909.</w:t>
      </w:r>
    </w:p>
    <w:p w14:paraId="0719C197" w14:textId="3499BF79" w:rsidR="0034055E" w:rsidRDefault="0034055E" w:rsidP="0034055E">
      <w:pPr>
        <w:jc w:val="both"/>
      </w:pPr>
      <w:proofErr w:type="spellStart"/>
      <w:r>
        <w:t>Pisuliński</w:t>
      </w:r>
      <w:proofErr w:type="spellEnd"/>
      <w:r>
        <w:t xml:space="preserve"> J., </w:t>
      </w:r>
      <w:proofErr w:type="spellStart"/>
      <w:r w:rsidRPr="00521A9D">
        <w:rPr>
          <w:i/>
          <w:iCs/>
        </w:rPr>
        <w:t>Die</w:t>
      </w:r>
      <w:proofErr w:type="spellEnd"/>
      <w:r w:rsidRPr="00521A9D">
        <w:rPr>
          <w:i/>
          <w:iCs/>
        </w:rPr>
        <w:t xml:space="preserve"> </w:t>
      </w:r>
      <w:proofErr w:type="spellStart"/>
      <w:r w:rsidRPr="00521A9D">
        <w:rPr>
          <w:i/>
          <w:iCs/>
        </w:rPr>
        <w:t>Anwendung</w:t>
      </w:r>
      <w:proofErr w:type="spellEnd"/>
      <w:r w:rsidRPr="00521A9D">
        <w:rPr>
          <w:i/>
          <w:iCs/>
        </w:rPr>
        <w:t xml:space="preserve"> </w:t>
      </w:r>
      <w:proofErr w:type="spellStart"/>
      <w:r w:rsidRPr="00521A9D">
        <w:rPr>
          <w:i/>
          <w:iCs/>
        </w:rPr>
        <w:t>zivilrechtlicher</w:t>
      </w:r>
      <w:proofErr w:type="spellEnd"/>
      <w:r w:rsidRPr="00521A9D">
        <w:rPr>
          <w:i/>
          <w:iCs/>
        </w:rPr>
        <w:t xml:space="preserve"> </w:t>
      </w:r>
      <w:proofErr w:type="spellStart"/>
      <w:r w:rsidRPr="00521A9D">
        <w:rPr>
          <w:i/>
          <w:iCs/>
        </w:rPr>
        <w:t>Vorschriften</w:t>
      </w:r>
      <w:proofErr w:type="spellEnd"/>
      <w:r w:rsidRPr="00521A9D">
        <w:rPr>
          <w:i/>
          <w:iCs/>
        </w:rPr>
        <w:t xml:space="preserve"> </w:t>
      </w:r>
      <w:proofErr w:type="spellStart"/>
      <w:r w:rsidRPr="00521A9D">
        <w:rPr>
          <w:i/>
          <w:iCs/>
        </w:rPr>
        <w:t>auf</w:t>
      </w:r>
      <w:proofErr w:type="spellEnd"/>
      <w:r w:rsidRPr="00521A9D">
        <w:rPr>
          <w:i/>
          <w:iCs/>
        </w:rPr>
        <w:t xml:space="preserve"> </w:t>
      </w:r>
      <w:proofErr w:type="spellStart"/>
      <w:r w:rsidRPr="00521A9D">
        <w:rPr>
          <w:i/>
          <w:iCs/>
        </w:rPr>
        <w:t>Steuerverbindlichkeiten</w:t>
      </w:r>
      <w:proofErr w:type="spellEnd"/>
      <w:r>
        <w:t xml:space="preserve"> (</w:t>
      </w:r>
      <w:r w:rsidR="00521A9D">
        <w:t>in</w:t>
      </w:r>
      <w:r>
        <w:t xml:space="preserve">:) </w:t>
      </w:r>
      <w:proofErr w:type="spellStart"/>
      <w:r>
        <w:t>Ph</w:t>
      </w:r>
      <w:proofErr w:type="spellEnd"/>
      <w:r>
        <w:t xml:space="preserve">. </w:t>
      </w:r>
      <w:proofErr w:type="spellStart"/>
      <w:r>
        <w:t>Hellwege</w:t>
      </w:r>
      <w:proofErr w:type="spellEnd"/>
      <w:r>
        <w:t xml:space="preserve">, M. </w:t>
      </w:r>
      <w:proofErr w:type="spellStart"/>
      <w:r>
        <w:t>Soniewicka</w:t>
      </w:r>
      <w:proofErr w:type="spellEnd"/>
      <w:r>
        <w:t xml:space="preserve"> (</w:t>
      </w:r>
      <w:proofErr w:type="spellStart"/>
      <w:r>
        <w:t>Hrsg</w:t>
      </w:r>
      <w:proofErr w:type="spellEnd"/>
      <w:r>
        <w:t xml:space="preserve">.), </w:t>
      </w:r>
      <w:proofErr w:type="spellStart"/>
      <w:r>
        <w:t>Tübingen</w:t>
      </w:r>
      <w:proofErr w:type="spellEnd"/>
      <w:r>
        <w:t xml:space="preserve"> [Mohr </w:t>
      </w:r>
      <w:proofErr w:type="spellStart"/>
      <w:r>
        <w:t>Siebeck</w:t>
      </w:r>
      <w:proofErr w:type="spellEnd"/>
      <w:r>
        <w:t xml:space="preserve">] 2020, </w:t>
      </w:r>
      <w:r w:rsidR="00521A9D">
        <w:t>p</w:t>
      </w:r>
      <w:r>
        <w:t>. 137–151.</w:t>
      </w:r>
    </w:p>
    <w:p w14:paraId="075D86E6" w14:textId="095352BC" w:rsidR="0034055E" w:rsidRPr="0034055E" w:rsidRDefault="0034055E" w:rsidP="0034055E">
      <w:pPr>
        <w:jc w:val="both"/>
      </w:pPr>
      <w:proofErr w:type="spellStart"/>
      <w:r>
        <w:t>Ślebzak</w:t>
      </w:r>
      <w:proofErr w:type="spellEnd"/>
      <w:r>
        <w:t xml:space="preserve"> K., </w:t>
      </w:r>
      <w:r w:rsidRPr="00521A9D">
        <w:rPr>
          <w:i/>
          <w:iCs/>
        </w:rPr>
        <w:t>Art. 69 [Prawo osób niepełnosprawnych do pomocy państwa]</w:t>
      </w:r>
      <w:r>
        <w:t xml:space="preserve"> (</w:t>
      </w:r>
      <w:r w:rsidR="00521A9D">
        <w:t>in</w:t>
      </w:r>
      <w:r>
        <w:t xml:space="preserve">:) M. Safjan, L. </w:t>
      </w:r>
      <w:proofErr w:type="spellStart"/>
      <w:r>
        <w:t>Bosek</w:t>
      </w:r>
      <w:proofErr w:type="spellEnd"/>
      <w:r>
        <w:t xml:space="preserve"> (red.), Konstytucja RP. Komentarz. Art. 1–86, t. 1, Warszawa [Wydawnictwo </w:t>
      </w:r>
      <w:proofErr w:type="spellStart"/>
      <w:r>
        <w:t>C.</w:t>
      </w:r>
      <w:proofErr w:type="gramStart"/>
      <w:r>
        <w:t>H.Beck</w:t>
      </w:r>
      <w:proofErr w:type="spellEnd"/>
      <w:proofErr w:type="gramEnd"/>
      <w:r>
        <w:t xml:space="preserve">] 2016, </w:t>
      </w:r>
      <w:r w:rsidR="00521A9D">
        <w:t>p</w:t>
      </w:r>
      <w:r>
        <w:t>. 1563–1571.</w:t>
      </w:r>
    </w:p>
    <w:sectPr w:rsidR="0034055E" w:rsidRPr="00340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Lato">
    <w:charset w:val="EE"/>
    <w:family w:val="swiss"/>
    <w:pitch w:val="variable"/>
    <w:sig w:usb0="E10002FF" w:usb1="5000ECFF" w:usb2="00000009"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373C"/>
    <w:multiLevelType w:val="hybridMultilevel"/>
    <w:tmpl w:val="AEE4E6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C053DE"/>
    <w:multiLevelType w:val="hybridMultilevel"/>
    <w:tmpl w:val="005C11AC"/>
    <w:lvl w:ilvl="0" w:tplc="2B3CF3EA">
      <w:start w:val="1"/>
      <w:numFmt w:val="bullet"/>
      <w:lvlText w:val="-"/>
      <w:lvlJc w:val="left"/>
      <w:pPr>
        <w:ind w:left="720" w:hanging="360"/>
      </w:pPr>
      <w:rPr>
        <w:rFonts w:ascii="Lato" w:eastAsiaTheme="minorHAnsi" w:hAnsi="Lato" w:cs="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7FE17E4"/>
    <w:multiLevelType w:val="hybridMultilevel"/>
    <w:tmpl w:val="E9CE1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0821AF"/>
    <w:multiLevelType w:val="hybridMultilevel"/>
    <w:tmpl w:val="D8F23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BD6B5E"/>
    <w:multiLevelType w:val="hybridMultilevel"/>
    <w:tmpl w:val="F208A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00"/>
    <w:rsid w:val="0005065F"/>
    <w:rsid w:val="000E040D"/>
    <w:rsid w:val="001E3A34"/>
    <w:rsid w:val="002A3600"/>
    <w:rsid w:val="0034055E"/>
    <w:rsid w:val="00350242"/>
    <w:rsid w:val="003C437B"/>
    <w:rsid w:val="00411B6D"/>
    <w:rsid w:val="00521A9D"/>
    <w:rsid w:val="00634147"/>
    <w:rsid w:val="007872E1"/>
    <w:rsid w:val="008F6689"/>
    <w:rsid w:val="00A2755E"/>
    <w:rsid w:val="00CB3AC2"/>
    <w:rsid w:val="00DE1060"/>
    <w:rsid w:val="00E11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CEC0"/>
  <w15:chartTrackingRefBased/>
  <w15:docId w15:val="{E335E066-8016-42E6-8889-397888F6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872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872E1"/>
    <w:pPr>
      <w:ind w:left="720"/>
      <w:contextualSpacing/>
    </w:pPr>
  </w:style>
  <w:style w:type="character" w:styleId="Hipercze">
    <w:name w:val="Hyperlink"/>
    <w:basedOn w:val="Domylnaczcionkaakapitu"/>
    <w:uiPriority w:val="99"/>
    <w:unhideWhenUsed/>
    <w:rsid w:val="007872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883</Words>
  <Characters>5302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11</cp:revision>
  <dcterms:created xsi:type="dcterms:W3CDTF">2021-03-13T13:24:00Z</dcterms:created>
  <dcterms:modified xsi:type="dcterms:W3CDTF">2021-03-17T22:41:00Z</dcterms:modified>
</cp:coreProperties>
</file>